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A77B3E"/>
    <w:p w:rsidR="00A77B3E" w:rsidRDefault="00A77B3E">
      <w:pPr>
        <w:pStyle w:val="1"/>
      </w:pPr>
    </w:p>
    <w:p w:rsidR="00A77B3E" w:rsidRDefault="00A77B3E">
      <w:pPr>
        <w:pStyle w:val="2"/>
      </w:pPr>
    </w:p>
    <w:p w:rsidR="00A77B3E" w:rsidRDefault="00892CA8">
      <w:pPr>
        <w:pStyle w:val="3"/>
      </w:pPr>
      <w:r>
        <w:t>X</w:t>
      </w:r>
    </w:p>
    <w:p w:rsidR="00A77B3E" w:rsidRDefault="00CF67A7">
      <w:pPr>
        <w:pStyle w:val="4"/>
      </w:pPr>
      <w:r>
        <w:t>SDĚLENÍ</w:t>
      </w:r>
    </w:p>
    <w:p w:rsidR="00A77B3E" w:rsidRDefault="00CF67A7">
      <w:pPr>
        <w:pStyle w:val="5"/>
      </w:pPr>
      <w:r>
        <w:t>Ministerstva zahraničních věcí</w:t>
      </w:r>
    </w:p>
    <w:p w:rsidR="00A77B3E" w:rsidRDefault="00CF67A7">
      <w:pPr>
        <w:pStyle w:val="6"/>
      </w:pPr>
      <w:r>
        <w:t>o sjednání Dohody o hospodářské, obchodní a technické spolupráci mezi vládou České republiky a vládou Státu Katar</w:t>
      </w:r>
    </w:p>
    <w:p w:rsidR="00A77B3E" w:rsidRDefault="00A77B3E">
      <w:pPr>
        <w:pStyle w:val="2"/>
      </w:pPr>
    </w:p>
    <w:p w:rsidR="00A77B3E" w:rsidRPr="00892CA8" w:rsidRDefault="00CF67A7">
      <w:pPr>
        <w:pStyle w:val="7"/>
        <w:rPr>
          <w:highlight w:val="lightGray"/>
        </w:rPr>
      </w:pPr>
      <w:r w:rsidRPr="00892CA8">
        <w:rPr>
          <w:highlight w:val="lightGray"/>
        </w:rPr>
        <w:t>Ministerstvo zahraničních věcí sděluje, že dne 5. října 2022 byla v Praze podepsána Dohoda o hospodářské, obchodní a technické spolupráci mezi vládou České republiky a vládou Státu Katar.</w:t>
      </w:r>
    </w:p>
    <w:p w:rsidR="00A77B3E" w:rsidRPr="00892CA8" w:rsidRDefault="00A77B3E">
      <w:pPr>
        <w:pStyle w:val="7"/>
        <w:rPr>
          <w:highlight w:val="lightGray"/>
        </w:rPr>
      </w:pPr>
    </w:p>
    <w:p w:rsidR="00A77B3E" w:rsidRPr="00892CA8" w:rsidRDefault="00CF67A7">
      <w:pPr>
        <w:pStyle w:val="8"/>
        <w:rPr>
          <w:highlight w:val="lightGray"/>
        </w:rPr>
      </w:pPr>
      <w:r w:rsidRPr="00892CA8">
        <w:rPr>
          <w:highlight w:val="lightGray"/>
        </w:rPr>
        <w:t xml:space="preserve">Smlouva vstoupila v platnost na základě svého </w:t>
      </w:r>
      <w:hyperlink w:history="1">
        <w:r w:rsidRPr="00892CA8">
          <w:rPr>
            <w:highlight w:val="lightGray"/>
          </w:rPr>
          <w:t>článku 12 odst. 1</w:t>
        </w:r>
      </w:hyperlink>
      <w:r w:rsidRPr="00892CA8">
        <w:rPr>
          <w:highlight w:val="lightGray"/>
        </w:rPr>
        <w:t xml:space="preserve"> dne 1. ledna 2023.</w:t>
      </w:r>
    </w:p>
    <w:p w:rsidR="00A77B3E" w:rsidRPr="00892CA8" w:rsidRDefault="00CF67A7">
      <w:pPr>
        <w:pStyle w:val="9"/>
        <w:rPr>
          <w:highlight w:val="lightGray"/>
        </w:rPr>
      </w:pPr>
      <w:r w:rsidRPr="00892CA8">
        <w:rPr>
          <w:highlight w:val="lightGray"/>
        </w:rPr>
        <w:t>České znění Dohody a anglické znění, jež je pro její výklad rozhodné, se vyhlašují současně.</w:t>
      </w:r>
    </w:p>
    <w:p w:rsidR="00A77B3E" w:rsidRPr="00892CA8" w:rsidRDefault="00A77B3E">
      <w:pPr>
        <w:pStyle w:val="2"/>
        <w:rPr>
          <w:highlight w:val="lightGray"/>
        </w:rPr>
      </w:pPr>
    </w:p>
    <w:p w:rsidR="00A77B3E" w:rsidRPr="00892CA8" w:rsidRDefault="00CF67A7">
      <w:pPr>
        <w:pStyle w:val="10"/>
        <w:rPr>
          <w:highlight w:val="lightGray"/>
        </w:rPr>
      </w:pPr>
      <w:r w:rsidRPr="00892CA8">
        <w:rPr>
          <w:highlight w:val="lightGray"/>
        </w:rPr>
        <w:t>Ministr zahraničních věcí:</w:t>
      </w:r>
    </w:p>
    <w:p w:rsidR="00A77B3E" w:rsidRDefault="00CF67A7">
      <w:pPr>
        <w:pStyle w:val="11"/>
        <w:rPr>
          <w:highlight w:val="lightGray"/>
        </w:rPr>
      </w:pPr>
      <w:r w:rsidRPr="00892CA8">
        <w:rPr>
          <w:highlight w:val="lightGray"/>
        </w:rPr>
        <w:t xml:space="preserve">Bc. </w:t>
      </w:r>
      <w:proofErr w:type="spellStart"/>
      <w:r w:rsidRPr="00892CA8">
        <w:rPr>
          <w:highlight w:val="lightGray"/>
        </w:rPr>
        <w:t>Lipavský</w:t>
      </w:r>
      <w:proofErr w:type="spellEnd"/>
      <w:r w:rsidRPr="00892CA8">
        <w:rPr>
          <w:highlight w:val="lightGray"/>
        </w:rPr>
        <w:t xml:space="preserve"> v. r.</w:t>
      </w:r>
    </w:p>
    <w:p w:rsidR="00892CA8" w:rsidRDefault="00892CA8">
      <w:pPr>
        <w:pStyle w:val="11"/>
      </w:pPr>
    </w:p>
    <w:p w:rsidR="00A77B3E" w:rsidRDefault="00A77B3E">
      <w:pPr>
        <w:pStyle w:val="2"/>
      </w:pPr>
    </w:p>
    <w:p w:rsidR="00A77B3E" w:rsidRDefault="00A77B3E">
      <w:pPr>
        <w:pStyle w:val="2"/>
      </w:pPr>
    </w:p>
    <w:p w:rsidR="00A77B3E" w:rsidRDefault="00CF67A7">
      <w:pPr>
        <w:pStyle w:val="12"/>
      </w:pPr>
      <w:r>
        <w:t>DOHODA</w:t>
      </w:r>
    </w:p>
    <w:p w:rsidR="00A77B3E" w:rsidRDefault="00CF67A7">
      <w:pPr>
        <w:pStyle w:val="13"/>
      </w:pPr>
      <w:r>
        <w:t>O HOSPODÁŘSKÉ, OBCHODNÍ A TECHNICKÉ SPOLUPRÁCI</w:t>
      </w:r>
    </w:p>
    <w:p w:rsidR="00A77B3E" w:rsidRDefault="00CF67A7">
      <w:pPr>
        <w:pStyle w:val="13"/>
      </w:pPr>
      <w:r>
        <w:t>MEZI</w:t>
      </w:r>
    </w:p>
    <w:p w:rsidR="00A77B3E" w:rsidRDefault="00CF67A7">
      <w:pPr>
        <w:pStyle w:val="13"/>
      </w:pPr>
      <w:r>
        <w:t>VLÁDOU ČESKÉ REPUBLIKY</w:t>
      </w:r>
    </w:p>
    <w:p w:rsidR="00A77B3E" w:rsidRDefault="00CF67A7">
      <w:pPr>
        <w:pStyle w:val="13"/>
      </w:pPr>
      <w:r>
        <w:t>A</w:t>
      </w:r>
    </w:p>
    <w:p w:rsidR="00A77B3E" w:rsidRDefault="00CF67A7">
      <w:pPr>
        <w:pStyle w:val="14"/>
      </w:pPr>
      <w:r>
        <w:t>VLÁDOU STÁTU KATAR</w:t>
      </w:r>
    </w:p>
    <w:p w:rsidR="00A77B3E" w:rsidRDefault="00CF67A7">
      <w:pPr>
        <w:pStyle w:val="15"/>
      </w:pPr>
      <w:r>
        <w:rPr>
          <w:bCs/>
        </w:rPr>
        <w:t>Vláda České republiky,</w:t>
      </w:r>
    </w:p>
    <w:p w:rsidR="00A77B3E" w:rsidRDefault="00CF67A7">
      <w:pPr>
        <w:pStyle w:val="16"/>
      </w:pPr>
      <w:r>
        <w:rPr>
          <w:bCs/>
        </w:rPr>
        <w:t>a</w:t>
      </w:r>
    </w:p>
    <w:p w:rsidR="00A77B3E" w:rsidRDefault="00CF67A7">
      <w:pPr>
        <w:pStyle w:val="16"/>
      </w:pPr>
      <w:r>
        <w:rPr>
          <w:bCs/>
        </w:rPr>
        <w:t>Vláda Státu Katar,</w:t>
      </w:r>
    </w:p>
    <w:p w:rsidR="00A77B3E" w:rsidRDefault="00CF67A7">
      <w:pPr>
        <w:pStyle w:val="16"/>
      </w:pPr>
      <w:r>
        <w:t>(dále jen „Smluvní strany“);</w:t>
      </w:r>
    </w:p>
    <w:p w:rsidR="00A77B3E" w:rsidRDefault="00CF67A7">
      <w:pPr>
        <w:pStyle w:val="16"/>
      </w:pPr>
      <w:r>
        <w:lastRenderedPageBreak/>
        <w:t>přejíce si rozšířit a posílit vztahy mezi oběma zeměmi v oblasti hospodářské, obchodní a technické spolupráce k jejich vzájemnému prospěchu;</w:t>
      </w:r>
    </w:p>
    <w:p w:rsidR="00A77B3E" w:rsidRDefault="00CF67A7">
      <w:pPr>
        <w:pStyle w:val="17"/>
      </w:pPr>
      <w:r>
        <w:t>se dohodly takto:</w:t>
      </w:r>
    </w:p>
    <w:p w:rsidR="00A77B3E" w:rsidRDefault="00CF67A7">
      <w:pPr>
        <w:pStyle w:val="18"/>
      </w:pPr>
      <w:r>
        <w:t>ČLÁNEK 1</w:t>
      </w:r>
    </w:p>
    <w:p w:rsidR="00A77B3E" w:rsidRDefault="00CF67A7">
      <w:pPr>
        <w:pStyle w:val="7"/>
      </w:pPr>
      <w:r>
        <w:t>Smluvní strany budou vzájemně spolupracovat v souladu s příslušnými zákony a předpisy svých zemí na základě rovnosti, přátelství a vzájemného prospěchu v hospodářských, obchodních a technických oblastech, včetně obchodu, investic, průmyslu, dolů, zemědělství, telekomunikací, ICT, vědy, dopravy, stavebnictví, cestovního ruchu, práce a dalších oblastí společného zájmu.</w:t>
      </w:r>
    </w:p>
    <w:p w:rsidR="00A77B3E" w:rsidRDefault="00CF67A7">
      <w:pPr>
        <w:pStyle w:val="18"/>
      </w:pPr>
      <w:r>
        <w:t>ČLÁNEK 2</w:t>
      </w:r>
    </w:p>
    <w:p w:rsidR="00A77B3E" w:rsidRDefault="00CF67A7">
      <w:pPr>
        <w:pStyle w:val="7"/>
      </w:pPr>
      <w:r>
        <w:t>Smluvní strany budou podporovat a usnadňovat vývoz a dovoz svých průmyslových a zemědělských produktů, služeb, jakož i surovin s výjimkou těch, které jsou zakázány příslušnými zákony a předpisy jejich zemí.</w:t>
      </w:r>
    </w:p>
    <w:p w:rsidR="00A77B3E" w:rsidRDefault="00CF67A7">
      <w:pPr>
        <w:pStyle w:val="18"/>
      </w:pPr>
      <w:r>
        <w:t>ČLÁNEK 3</w:t>
      </w:r>
    </w:p>
    <w:p w:rsidR="00A77B3E" w:rsidRDefault="00CF67A7">
      <w:pPr>
        <w:pStyle w:val="7"/>
      </w:pPr>
      <w:r>
        <w:t>Smluvní strany budou podporovat a usnadňovat pohyb zboží a služeb mezi oběma zeměmi.</w:t>
      </w:r>
    </w:p>
    <w:p w:rsidR="00A77B3E" w:rsidRDefault="00CF67A7">
      <w:pPr>
        <w:pStyle w:val="18"/>
      </w:pPr>
      <w:r>
        <w:t>ČLÁNEK 4</w:t>
      </w:r>
    </w:p>
    <w:p w:rsidR="00A77B3E" w:rsidRDefault="00CF67A7">
      <w:pPr>
        <w:pStyle w:val="7"/>
      </w:pPr>
      <w:r>
        <w:t>Smluvní strany budou podporovat používání jakékoli mezinárodní platební metody a volně směnitelných měn, které jsou široce používány k provádění plateb za mezinárodní transakce a které jsou široce směňovány na hlavních mezinárodních devizových trzích, jež budou způsobem platby za obchodní transakce mezi fyzickými a právnickými osobami Smluvních stran podle této Dohody.</w:t>
      </w:r>
    </w:p>
    <w:p w:rsidR="00A77B3E" w:rsidRDefault="00CF67A7">
      <w:pPr>
        <w:pStyle w:val="18"/>
      </w:pPr>
      <w:r>
        <w:t>ČLÁNEK 5</w:t>
      </w:r>
    </w:p>
    <w:p w:rsidR="00A77B3E" w:rsidRDefault="00CF67A7">
      <w:pPr>
        <w:pStyle w:val="7"/>
      </w:pPr>
      <w:r>
        <w:t>Smluvní strany budou:</w:t>
      </w:r>
    </w:p>
    <w:p w:rsidR="00A77B3E" w:rsidRDefault="00CF67A7">
      <w:pPr>
        <w:pStyle w:val="19"/>
      </w:pPr>
      <w:r>
        <w:t>a)    podporovat a usnadňovat účast podnikatelů a zástupců obchodních a průmyslových komor a dalších obdobných institucí, jakož i vládních představitelů ve své zemi, na mezinárodních veletrzích a výstavách, které se konají na území druhé Smluvní strany.</w:t>
      </w:r>
    </w:p>
    <w:p w:rsidR="00A77B3E" w:rsidRDefault="00CF67A7">
      <w:pPr>
        <w:pStyle w:val="20"/>
      </w:pPr>
      <w:r>
        <w:t>b)    podporovat veletrhy a výstavy pořádané druhou Smluvní stranou v každé zemi v rámci příslušných zákonů a předpisů svých zemí.</w:t>
      </w:r>
    </w:p>
    <w:p w:rsidR="00A77B3E" w:rsidRDefault="00CF67A7">
      <w:pPr>
        <w:pStyle w:val="21"/>
      </w:pPr>
      <w:r>
        <w:t>c)    usnadňovat výměnu informací o zákonech a nařízeních, hospodářských programech a projektech, obchodních aktivitách a dalších informací společného zájmu.</w:t>
      </w:r>
    </w:p>
    <w:p w:rsidR="00A77B3E" w:rsidRDefault="00CF67A7">
      <w:pPr>
        <w:pStyle w:val="18"/>
      </w:pPr>
      <w:r>
        <w:t>ČLÁNEK 6</w:t>
      </w:r>
    </w:p>
    <w:p w:rsidR="00A9583C" w:rsidRDefault="00A9583C" w:rsidP="00A9583C">
      <w:pPr>
        <w:pStyle w:val="16"/>
      </w:pPr>
      <w:r>
        <w:t>VYMEZENÍ POJMŮ</w:t>
      </w:r>
    </w:p>
    <w:p w:rsidR="00A9583C" w:rsidRDefault="00A9583C" w:rsidP="00A9583C">
      <w:pPr>
        <w:pStyle w:val="20"/>
      </w:pPr>
      <w:r>
        <w:lastRenderedPageBreak/>
        <w:t>Pro účel této Smlouvy se rozumí:</w:t>
      </w:r>
    </w:p>
    <w:p w:rsidR="00A9583C" w:rsidRDefault="00A9583C" w:rsidP="00A9583C">
      <w:pPr>
        <w:pStyle w:val="8"/>
      </w:pPr>
      <w:r>
        <w:t>„Utajovanou informací“ každá informace, bez ohledu na svoji formu, která v souladu s vnitrostátními právními předpisy některé smluvní strany vyžaduje ochranu proti vyzrazení, zneužití nebo ztrátě, a která byla takto označena;</w:t>
      </w:r>
    </w:p>
    <w:p w:rsidR="00A9583C" w:rsidRDefault="00A9583C" w:rsidP="00A9583C">
      <w:pPr>
        <w:pStyle w:val="21"/>
      </w:pPr>
      <w:r>
        <w:t>„Utajovanou smlouvou“ smlouva, která obsahuje nebo jejíž provádění zahrnuje přístup k utajované informaci;</w:t>
      </w:r>
    </w:p>
    <w:p w:rsidR="00A9583C" w:rsidRDefault="00A9583C" w:rsidP="00A9583C">
      <w:pPr>
        <w:pStyle w:val="21"/>
      </w:pPr>
      <w:r>
        <w:t>„Poskytující stranou“ smluvní strana, včetně právnických a fyzických osob pod její jurisdikcí, která poskytne utajovanou informaci;</w:t>
      </w:r>
    </w:p>
    <w:p w:rsidR="00A9583C" w:rsidRDefault="00A9583C" w:rsidP="00A9583C">
      <w:pPr>
        <w:pStyle w:val="21"/>
      </w:pPr>
      <w:r>
        <w:t>„Přijímající stranou“ smluvní strana, včetně právnických a fyzických osob pod její jurisdikcí, která přijme utajovanou informaci;</w:t>
      </w:r>
    </w:p>
    <w:p w:rsidR="00A9583C" w:rsidRDefault="00A9583C" w:rsidP="00A9583C">
      <w:pPr>
        <w:pStyle w:val="9"/>
      </w:pPr>
      <w:r>
        <w:t>„Třetí stranou“ stát, včetně právnických a fyzických osob pod jeho jurisdikcí, nebo mezinárodní organizace, které nejsou smluvní stranou této Smlouvy.</w:t>
      </w:r>
    </w:p>
    <w:p w:rsidR="00A77B3E" w:rsidRDefault="00CF67A7">
      <w:pPr>
        <w:pStyle w:val="18"/>
      </w:pPr>
      <w:r>
        <w:t>ČLÁNEK 7</w:t>
      </w:r>
    </w:p>
    <w:p w:rsidR="00F97713" w:rsidRPr="00F97713" w:rsidRDefault="00F97713" w:rsidP="00F97713">
      <w:pPr>
        <w:pStyle w:val="18"/>
        <w:rPr>
          <w:b/>
        </w:rPr>
      </w:pPr>
      <w:r w:rsidRPr="00F97713">
        <w:rPr>
          <w:b/>
        </w:rPr>
        <w:t>DANĚ, NA KTERÉ SE SMLOUVA VZTAHUJE</w:t>
      </w:r>
    </w:p>
    <w:p w:rsidR="00F97713" w:rsidRDefault="00F97713" w:rsidP="00F97713">
      <w:pPr>
        <w:pStyle w:val="19"/>
      </w:pPr>
      <w:r>
        <w:t>1.   Tato smlouva se vztahuje na daně z příjmu ukládané jménem každého ze smluvních států nebo jeho nižších správních útvarů nebo místních úřadů, ať je způsob vybírání jakýkoli.</w:t>
      </w:r>
    </w:p>
    <w:p w:rsidR="00F97713" w:rsidRDefault="00F97713" w:rsidP="00F97713">
      <w:pPr>
        <w:pStyle w:val="20"/>
      </w:pPr>
      <w:r>
        <w:t xml:space="preserve">2.   Za daně z příjmu se považují všechny daně vybírané z celkového příjmu nebo z částí příjmu, včetně daní ze zisků </w:t>
      </w:r>
      <w:proofErr w:type="gramStart"/>
      <w:r>
        <w:t>ze</w:t>
      </w:r>
      <w:proofErr w:type="gramEnd"/>
      <w:r>
        <w:t xml:space="preserve"> zcizení movitého nebo nemovitého majetku a rovněž daní z celkového objemu mezd či platů vyplácených podniky.</w:t>
      </w:r>
    </w:p>
    <w:p w:rsidR="00F97713" w:rsidRDefault="00F97713" w:rsidP="00F97713">
      <w:pPr>
        <w:pStyle w:val="21"/>
      </w:pPr>
      <w:r>
        <w:t>3.   Současné daně, na které se Smlouva vztahuje, jsou zejména:</w:t>
      </w:r>
    </w:p>
    <w:p w:rsidR="00F97713" w:rsidRDefault="00F97713" w:rsidP="00F97713">
      <w:pPr>
        <w:pStyle w:val="22"/>
        <w:ind w:left="1740"/>
      </w:pPr>
      <w:r>
        <w:t>a)   v případě Státu Katar:</w:t>
      </w:r>
    </w:p>
    <w:p w:rsidR="00F97713" w:rsidRDefault="00F97713" w:rsidP="00F97713">
      <w:pPr>
        <w:pStyle w:val="23"/>
        <w:ind w:left="1740" w:firstLine="0"/>
      </w:pPr>
      <w:r>
        <w:t>(i)   daň z příjmů;</w:t>
      </w:r>
    </w:p>
    <w:p w:rsidR="00F97713" w:rsidRDefault="00F97713" w:rsidP="00F97713">
      <w:pPr>
        <w:pStyle w:val="24"/>
        <w:ind w:left="1740" w:firstLine="0"/>
      </w:pPr>
      <w:r>
        <w:t>(</w:t>
      </w:r>
      <w:proofErr w:type="spellStart"/>
      <w:r>
        <w:t>ii</w:t>
      </w:r>
      <w:proofErr w:type="spellEnd"/>
      <w:r>
        <w:t>)   daň společností;</w:t>
      </w:r>
    </w:p>
    <w:p w:rsidR="00F97713" w:rsidRDefault="00F97713" w:rsidP="00F97713">
      <w:pPr>
        <w:pStyle w:val="25"/>
        <w:ind w:left="1490" w:firstLine="250"/>
      </w:pPr>
      <w:r>
        <w:t>(dále nazývané „katarská daň“); a</w:t>
      </w:r>
    </w:p>
    <w:p w:rsidR="00F97713" w:rsidRDefault="00F97713" w:rsidP="00F97713">
      <w:pPr>
        <w:pStyle w:val="22"/>
        <w:ind w:left="980" w:firstLine="210"/>
      </w:pPr>
      <w:r>
        <w:t>b)   v případě České republiky:</w:t>
      </w:r>
    </w:p>
    <w:p w:rsidR="00F97713" w:rsidRDefault="00F97713" w:rsidP="00F97713">
      <w:pPr>
        <w:pStyle w:val="26"/>
        <w:ind w:left="1910" w:firstLine="0"/>
      </w:pPr>
      <w:r>
        <w:t>(i)   daň z příjmů fyzických osob;</w:t>
      </w:r>
    </w:p>
    <w:p w:rsidR="00F97713" w:rsidRDefault="00F97713" w:rsidP="00F97713">
      <w:pPr>
        <w:pStyle w:val="26"/>
        <w:ind w:left="1660" w:firstLine="250"/>
      </w:pPr>
      <w:r>
        <w:t>(</w:t>
      </w:r>
      <w:proofErr w:type="spellStart"/>
      <w:r>
        <w:t>ii</w:t>
      </w:r>
      <w:proofErr w:type="spellEnd"/>
      <w:r>
        <w:t>)   daň z příjmů právnických osob;</w:t>
      </w:r>
    </w:p>
    <w:p w:rsidR="00F97713" w:rsidRDefault="00F97713" w:rsidP="00F97713">
      <w:pPr>
        <w:pStyle w:val="25"/>
        <w:ind w:left="1660" w:firstLine="250"/>
      </w:pPr>
      <w:r>
        <w:t>(dále nazývané „česká daň“).</w:t>
      </w:r>
    </w:p>
    <w:p w:rsidR="00F97713" w:rsidRDefault="00F97713" w:rsidP="00F97713">
      <w:pPr>
        <w:pStyle w:val="27"/>
        <w:ind w:left="709" w:hanging="425"/>
      </w:pPr>
      <w:r>
        <w:t>4.   Smlouva se bude rovněž vztahovat na jakékoliv daně stejného nebo v zásadě podobného druhu, které budou ukládány po datu podpisu Smlouvy vedle nebo místo současných daní. Příslušné úřady smluvních států si vzájemně sdělí veškeré podstatné změny, které budou provedeny v jejich příslušných daňových zákonech.</w:t>
      </w:r>
    </w:p>
    <w:p w:rsidR="00A77B3E" w:rsidRDefault="00CF67A7">
      <w:pPr>
        <w:pStyle w:val="18"/>
      </w:pPr>
      <w:bookmarkStart w:id="0" w:name="_GoBack"/>
      <w:bookmarkEnd w:id="0"/>
      <w:r>
        <w:t>ČLÁNEK 8</w:t>
      </w:r>
    </w:p>
    <w:p w:rsidR="00A77B3E" w:rsidRDefault="00CF67A7">
      <w:pPr>
        <w:pStyle w:val="22"/>
      </w:pPr>
      <w:r>
        <w:lastRenderedPageBreak/>
        <w:t>(1)    Za účelem účinného provádění této Dohody a pro řešení sporů, které mohou nastat při jejím provádění, se Smluvní strany dohodly na zřízení Smíšené komise pro hospodářskou, obchodní a technickou spolupráci (dále jen „Smíšená komise“).</w:t>
      </w:r>
    </w:p>
    <w:p w:rsidR="00A77B3E" w:rsidRDefault="00CF67A7">
      <w:pPr>
        <w:pStyle w:val="23"/>
      </w:pPr>
      <w:r>
        <w:t>(2)    Smíšená komise se bude pravidelně scházet střídavě v každé ze zemí Smluvních stran na žádost jedné ze Smluvních stran.</w:t>
      </w:r>
    </w:p>
    <w:p w:rsidR="00A77B3E" w:rsidRDefault="00CF67A7">
      <w:pPr>
        <w:pStyle w:val="23"/>
      </w:pPr>
      <w:r>
        <w:t xml:space="preserve">(3)    Smíšené komisi </w:t>
      </w:r>
      <w:proofErr w:type="spellStart"/>
      <w:r>
        <w:t>spolupředsedají</w:t>
      </w:r>
      <w:proofErr w:type="spellEnd"/>
      <w:r>
        <w:t xml:space="preserve"> jak ministr průmyslu a obchodu České republiky nebo jeho zástupce, tak ministr obchodu a průmyslu Státu Katar nebo jeho zástupce.</w:t>
      </w:r>
    </w:p>
    <w:p w:rsidR="00A77B3E" w:rsidRDefault="00CF67A7">
      <w:pPr>
        <w:pStyle w:val="23"/>
      </w:pPr>
      <w:r>
        <w:t>(4)    Smíšená komise se bude skládat ze zástupců ministerstev a institucí obou zemí. V případě potřeby může Smíšená komise přizvat zástupce obchodní sféry obou zemí s cílem napomoci provádění této Dohody, pokud se na tom Smluvní strany vzájemně dohodnou.</w:t>
      </w:r>
    </w:p>
    <w:p w:rsidR="00A77B3E" w:rsidRDefault="00CF67A7">
      <w:pPr>
        <w:pStyle w:val="24"/>
      </w:pPr>
      <w:r>
        <w:t>(5)    Povinnosti Smíšené komise zahrnují zejména následující:</w:t>
      </w:r>
    </w:p>
    <w:p w:rsidR="00A77B3E" w:rsidRDefault="00CF67A7">
      <w:pPr>
        <w:pStyle w:val="25"/>
      </w:pPr>
      <w:r>
        <w:t>a)    navrhování postupů pro usnadnění provádění této Dohody.</w:t>
      </w:r>
    </w:p>
    <w:p w:rsidR="00A77B3E" w:rsidRDefault="00CF67A7">
      <w:pPr>
        <w:pStyle w:val="26"/>
      </w:pPr>
      <w:r>
        <w:t>b)    studium možností potřebných k posílení hospodářské, obchodní a technické spolupráce mezi oběma zeměmi.</w:t>
      </w:r>
    </w:p>
    <w:p w:rsidR="00A77B3E" w:rsidRDefault="00CF67A7">
      <w:pPr>
        <w:pStyle w:val="26"/>
      </w:pPr>
      <w:r>
        <w:t>c)    rozšiřování a podporování obchodních vztahů a snah o odstranění překážek souvisejících s obchodní a hospodářskou spoluprací mezi oběma zeměmi.</w:t>
      </w:r>
    </w:p>
    <w:p w:rsidR="00A77B3E" w:rsidRDefault="00CF67A7">
      <w:pPr>
        <w:pStyle w:val="27"/>
      </w:pPr>
      <w:r>
        <w:t>d)    v případě potřeby předkládání návrhů na doplnění této Dohody.</w:t>
      </w:r>
    </w:p>
    <w:p w:rsidR="00A77B3E" w:rsidRDefault="00CF67A7">
      <w:pPr>
        <w:pStyle w:val="18"/>
      </w:pPr>
      <w:r>
        <w:t>ČLÁNEK 9</w:t>
      </w:r>
    </w:p>
    <w:p w:rsidR="00A9583C" w:rsidRDefault="00A9583C" w:rsidP="00A9583C">
      <w:pPr>
        <w:pStyle w:val="16"/>
      </w:pPr>
      <w:r>
        <w:t>NÁRODNÍ BEZPEČNOSTNÍ ÚŘADY</w:t>
      </w:r>
    </w:p>
    <w:p w:rsidR="00A9583C" w:rsidRDefault="00A9583C" w:rsidP="00A9583C">
      <w:pPr>
        <w:pStyle w:val="22"/>
      </w:pPr>
      <w:r>
        <w:t>1.    Národními bezpečnostními úřady odpovědnými za ochranu utajovaných informací a provádění této Smlouvy jsou:</w:t>
      </w:r>
    </w:p>
    <w:p w:rsidR="00A9583C" w:rsidRDefault="00A9583C" w:rsidP="00A9583C">
      <w:pPr>
        <w:pStyle w:val="23"/>
      </w:pPr>
      <w:r>
        <w:t>v České republice:</w:t>
      </w:r>
    </w:p>
    <w:p w:rsidR="00A9583C" w:rsidRDefault="00A9583C" w:rsidP="00A9583C">
      <w:pPr>
        <w:pStyle w:val="23"/>
      </w:pPr>
      <w:r>
        <w:t>Národní bezpečnostní úřad</w:t>
      </w:r>
    </w:p>
    <w:p w:rsidR="00A9583C" w:rsidRDefault="00A9583C" w:rsidP="00A9583C">
      <w:pPr>
        <w:pStyle w:val="23"/>
      </w:pPr>
      <w:r>
        <w:t>v Srbské republice:</w:t>
      </w:r>
    </w:p>
    <w:p w:rsidR="00A9583C" w:rsidRDefault="00A9583C" w:rsidP="00A9583C">
      <w:pPr>
        <w:pStyle w:val="23"/>
      </w:pPr>
      <w:proofErr w:type="spellStart"/>
      <w:r>
        <w:t>Канцеларија</w:t>
      </w:r>
      <w:proofErr w:type="spellEnd"/>
      <w:r>
        <w:t xml:space="preserve"> </w:t>
      </w:r>
      <w:proofErr w:type="spellStart"/>
      <w:r>
        <w:t>Савета</w:t>
      </w:r>
      <w:proofErr w:type="spellEnd"/>
      <w:r>
        <w:t xml:space="preserve"> </w:t>
      </w:r>
      <w:proofErr w:type="spellStart"/>
      <w:r>
        <w:t>за</w:t>
      </w:r>
      <w:proofErr w:type="spellEnd"/>
      <w:r>
        <w:t xml:space="preserve"> </w:t>
      </w:r>
      <w:proofErr w:type="spellStart"/>
      <w:r>
        <w:t>националну</w:t>
      </w:r>
      <w:proofErr w:type="spellEnd"/>
      <w:r>
        <w:t xml:space="preserve"> </w:t>
      </w:r>
      <w:proofErr w:type="spellStart"/>
      <w:r>
        <w:t>безбедност</w:t>
      </w:r>
      <w:proofErr w:type="spellEnd"/>
      <w:r>
        <w:t xml:space="preserve"> и </w:t>
      </w:r>
      <w:proofErr w:type="spellStart"/>
      <w:r>
        <w:t>заштиту</w:t>
      </w:r>
      <w:proofErr w:type="spellEnd"/>
      <w:r>
        <w:t xml:space="preserve"> </w:t>
      </w:r>
      <w:proofErr w:type="spellStart"/>
      <w:r>
        <w:t>тајних</w:t>
      </w:r>
      <w:proofErr w:type="spellEnd"/>
      <w:r>
        <w:t xml:space="preserve"> </w:t>
      </w:r>
      <w:proofErr w:type="spellStart"/>
      <w:r>
        <w:t>података</w:t>
      </w:r>
      <w:proofErr w:type="spellEnd"/>
    </w:p>
    <w:p w:rsidR="00A9583C" w:rsidRDefault="00A9583C" w:rsidP="00A9583C">
      <w:pPr>
        <w:pStyle w:val="22"/>
      </w:pPr>
      <w:r>
        <w:t>2.    Národní bezpečnostní úřady si sdělí své oficiální kontaktní údaje a názvy dalších příslušných úřadů, jež jsou rovněž odpovědné za ochranu utajovaných informací a za provádění této Smlouvy.</w:t>
      </w:r>
    </w:p>
    <w:p w:rsidR="00A77B3E" w:rsidRDefault="00CF67A7">
      <w:pPr>
        <w:pStyle w:val="18"/>
      </w:pPr>
      <w:r>
        <w:t>ČLÁNEK 10</w:t>
      </w:r>
    </w:p>
    <w:p w:rsidR="00A9583C" w:rsidRDefault="00A9583C" w:rsidP="00A9583C">
      <w:pPr>
        <w:pStyle w:val="16"/>
      </w:pPr>
      <w:r>
        <w:t>STUPNĚ UTAJENÍ</w:t>
      </w:r>
    </w:p>
    <w:p w:rsidR="00A9583C" w:rsidRDefault="00A9583C" w:rsidP="00A9583C">
      <w:pPr>
        <w:pStyle w:val="20"/>
      </w:pPr>
      <w:r>
        <w:t>Rovnocennost stupňů utajení je následující:</w:t>
      </w:r>
    </w:p>
    <w:tbl>
      <w:tblPr>
        <w:tblStyle w:val="TABLE1"/>
        <w:tblW w:w="0" w:type="auto"/>
        <w:tblInd w:w="172"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5E0" w:firstRow="1" w:lastRow="1" w:firstColumn="1" w:lastColumn="1" w:noHBand="0" w:noVBand="1"/>
      </w:tblPr>
      <w:tblGrid>
        <w:gridCol w:w="2165"/>
        <w:gridCol w:w="4834"/>
      </w:tblGrid>
      <w:tr w:rsidR="00A9583C" w:rsidTr="00DB046E">
        <w:tc>
          <w:tcPr>
            <w:tcW w:w="0" w:type="auto"/>
            <w:tcBorders>
              <w:top w:val="single" w:sz="12" w:space="0" w:color="000000"/>
              <w:left w:val="single" w:sz="12" w:space="0" w:color="000000"/>
              <w:bottom w:val="single" w:sz="12" w:space="0" w:color="000000"/>
              <w:right w:val="single" w:sz="12" w:space="0" w:color="000000"/>
            </w:tcBorders>
            <w:tcMar>
              <w:top w:w="85" w:type="dxa"/>
              <w:left w:w="157" w:type="dxa"/>
              <w:bottom w:w="85" w:type="dxa"/>
              <w:right w:w="157" w:type="dxa"/>
            </w:tcMar>
            <w:vAlign w:val="center"/>
            <w:hideMark/>
          </w:tcPr>
          <w:p w:rsidR="00A9583C" w:rsidRDefault="00A9583C" w:rsidP="00DB046E">
            <w:pPr>
              <w:pStyle w:val="20"/>
              <w:overflowPunct w:val="0"/>
              <w:jc w:val="center"/>
              <w:rPr>
                <w:b/>
                <w:bCs/>
                <w:sz w:val="20"/>
              </w:rPr>
            </w:pPr>
            <w:r>
              <w:rPr>
                <w:b/>
                <w:bCs/>
                <w:sz w:val="20"/>
              </w:rPr>
              <w:t>v České republice</w:t>
            </w:r>
          </w:p>
        </w:tc>
        <w:tc>
          <w:tcPr>
            <w:tcW w:w="0" w:type="auto"/>
            <w:tcBorders>
              <w:top w:val="single" w:sz="12" w:space="0" w:color="000000"/>
              <w:left w:val="single" w:sz="12" w:space="0" w:color="000000"/>
              <w:bottom w:val="single" w:sz="12" w:space="0" w:color="000000"/>
              <w:right w:val="single" w:sz="12" w:space="0" w:color="000000"/>
            </w:tcBorders>
            <w:tcMar>
              <w:top w:w="85" w:type="dxa"/>
              <w:left w:w="157" w:type="dxa"/>
              <w:bottom w:w="85" w:type="dxa"/>
              <w:right w:w="157" w:type="dxa"/>
            </w:tcMar>
            <w:vAlign w:val="center"/>
            <w:hideMark/>
          </w:tcPr>
          <w:p w:rsidR="00A9583C" w:rsidRDefault="00A9583C" w:rsidP="00DB046E">
            <w:pPr>
              <w:pStyle w:val="20"/>
              <w:overflowPunct w:val="0"/>
              <w:jc w:val="center"/>
              <w:rPr>
                <w:b/>
                <w:bCs/>
                <w:sz w:val="20"/>
              </w:rPr>
            </w:pPr>
            <w:r>
              <w:rPr>
                <w:b/>
                <w:bCs/>
                <w:sz w:val="20"/>
              </w:rPr>
              <w:t>v Srbské republice</w:t>
            </w:r>
          </w:p>
        </w:tc>
      </w:tr>
      <w:tr w:rsidR="00A9583C" w:rsidTr="00DB046E">
        <w:tc>
          <w:tcPr>
            <w:tcW w:w="0" w:type="auto"/>
            <w:tcBorders>
              <w:top w:val="single" w:sz="3" w:space="0" w:color="000000"/>
              <w:bottom w:val="single" w:sz="3" w:space="0" w:color="000000"/>
              <w:right w:val="single" w:sz="3" w:space="0" w:color="000000"/>
            </w:tcBorders>
            <w:tcMar>
              <w:top w:w="85" w:type="dxa"/>
              <w:left w:w="157" w:type="dxa"/>
              <w:bottom w:w="85" w:type="dxa"/>
              <w:right w:w="146" w:type="dxa"/>
            </w:tcMar>
            <w:vAlign w:val="center"/>
            <w:hideMark/>
          </w:tcPr>
          <w:p w:rsidR="00A9583C" w:rsidRDefault="00A9583C" w:rsidP="00DB046E">
            <w:pPr>
              <w:pStyle w:val="20"/>
              <w:overflowPunct w:val="0"/>
              <w:jc w:val="center"/>
              <w:rPr>
                <w:sz w:val="20"/>
              </w:rPr>
            </w:pPr>
            <w:r>
              <w:rPr>
                <w:sz w:val="20"/>
              </w:rPr>
              <w:t>PŘÍSNĚ TAJNÉ</w:t>
            </w:r>
          </w:p>
        </w:tc>
        <w:tc>
          <w:tcPr>
            <w:tcW w:w="0" w:type="auto"/>
            <w:tcBorders>
              <w:top w:val="single" w:sz="3" w:space="0" w:color="000000"/>
              <w:left w:val="single" w:sz="3" w:space="0" w:color="000000"/>
              <w:bottom w:val="single" w:sz="3" w:space="0" w:color="000000"/>
            </w:tcBorders>
            <w:tcMar>
              <w:top w:w="85" w:type="dxa"/>
              <w:left w:w="146" w:type="dxa"/>
              <w:bottom w:w="85" w:type="dxa"/>
              <w:right w:w="157" w:type="dxa"/>
            </w:tcMar>
            <w:vAlign w:val="center"/>
            <w:hideMark/>
          </w:tcPr>
          <w:p w:rsidR="00A9583C" w:rsidRDefault="00A9583C" w:rsidP="00DB046E">
            <w:pPr>
              <w:pStyle w:val="20"/>
              <w:overflowPunct w:val="0"/>
              <w:jc w:val="center"/>
              <w:rPr>
                <w:sz w:val="20"/>
              </w:rPr>
            </w:pPr>
            <w:r>
              <w:rPr>
                <w:sz w:val="20"/>
              </w:rPr>
              <w:t>ДРЖАВНА ТАЈНА/DRŽAVNA TAJNA</w:t>
            </w:r>
          </w:p>
        </w:tc>
      </w:tr>
      <w:tr w:rsidR="00A9583C" w:rsidTr="00DB046E">
        <w:tc>
          <w:tcPr>
            <w:tcW w:w="0" w:type="auto"/>
            <w:tcBorders>
              <w:top w:val="single" w:sz="3" w:space="0" w:color="000000"/>
              <w:bottom w:val="single" w:sz="3" w:space="0" w:color="000000"/>
              <w:right w:val="single" w:sz="3" w:space="0" w:color="000000"/>
            </w:tcBorders>
            <w:tcMar>
              <w:top w:w="85" w:type="dxa"/>
              <w:left w:w="157" w:type="dxa"/>
              <w:bottom w:w="85" w:type="dxa"/>
              <w:right w:w="146" w:type="dxa"/>
            </w:tcMar>
            <w:vAlign w:val="center"/>
            <w:hideMark/>
          </w:tcPr>
          <w:p w:rsidR="00A9583C" w:rsidRDefault="00A9583C" w:rsidP="00DB046E">
            <w:pPr>
              <w:pStyle w:val="20"/>
              <w:overflowPunct w:val="0"/>
              <w:jc w:val="center"/>
              <w:rPr>
                <w:sz w:val="20"/>
              </w:rPr>
            </w:pPr>
            <w:r>
              <w:rPr>
                <w:sz w:val="20"/>
              </w:rPr>
              <w:lastRenderedPageBreak/>
              <w:t>TAJNÉ</w:t>
            </w:r>
          </w:p>
        </w:tc>
        <w:tc>
          <w:tcPr>
            <w:tcW w:w="0" w:type="auto"/>
            <w:tcBorders>
              <w:top w:val="single" w:sz="3" w:space="0" w:color="000000"/>
              <w:left w:val="single" w:sz="3" w:space="0" w:color="000000"/>
              <w:bottom w:val="single" w:sz="3" w:space="0" w:color="000000"/>
            </w:tcBorders>
            <w:tcMar>
              <w:top w:w="85" w:type="dxa"/>
              <w:left w:w="146" w:type="dxa"/>
              <w:bottom w:w="85" w:type="dxa"/>
              <w:right w:w="157" w:type="dxa"/>
            </w:tcMar>
            <w:vAlign w:val="center"/>
            <w:hideMark/>
          </w:tcPr>
          <w:p w:rsidR="00A9583C" w:rsidRDefault="00A9583C" w:rsidP="00DB046E">
            <w:pPr>
              <w:pStyle w:val="20"/>
              <w:overflowPunct w:val="0"/>
              <w:jc w:val="center"/>
              <w:rPr>
                <w:sz w:val="20"/>
              </w:rPr>
            </w:pPr>
            <w:r>
              <w:rPr>
                <w:sz w:val="20"/>
              </w:rPr>
              <w:t>СТРОГО ПОВЕРЉИВО/STROGO POVERLJIVO</w:t>
            </w:r>
          </w:p>
        </w:tc>
      </w:tr>
      <w:tr w:rsidR="00A9583C" w:rsidTr="00DB046E">
        <w:tc>
          <w:tcPr>
            <w:tcW w:w="0" w:type="auto"/>
            <w:tcBorders>
              <w:top w:val="single" w:sz="3" w:space="0" w:color="000000"/>
              <w:bottom w:val="single" w:sz="3" w:space="0" w:color="000000"/>
              <w:right w:val="single" w:sz="3" w:space="0" w:color="000000"/>
            </w:tcBorders>
            <w:tcMar>
              <w:top w:w="85" w:type="dxa"/>
              <w:left w:w="157" w:type="dxa"/>
              <w:bottom w:w="85" w:type="dxa"/>
              <w:right w:w="146" w:type="dxa"/>
            </w:tcMar>
            <w:vAlign w:val="center"/>
            <w:hideMark/>
          </w:tcPr>
          <w:p w:rsidR="00A9583C" w:rsidRDefault="00A9583C" w:rsidP="00DB046E">
            <w:pPr>
              <w:pStyle w:val="20"/>
              <w:overflowPunct w:val="0"/>
              <w:jc w:val="center"/>
              <w:rPr>
                <w:sz w:val="20"/>
              </w:rPr>
            </w:pPr>
            <w:r>
              <w:rPr>
                <w:sz w:val="20"/>
              </w:rPr>
              <w:t>DŮVĚRNÉ</w:t>
            </w:r>
          </w:p>
        </w:tc>
        <w:tc>
          <w:tcPr>
            <w:tcW w:w="0" w:type="auto"/>
            <w:tcBorders>
              <w:top w:val="single" w:sz="3" w:space="0" w:color="000000"/>
              <w:left w:val="single" w:sz="3" w:space="0" w:color="000000"/>
              <w:bottom w:val="single" w:sz="3" w:space="0" w:color="000000"/>
            </w:tcBorders>
            <w:tcMar>
              <w:top w:w="85" w:type="dxa"/>
              <w:left w:w="146" w:type="dxa"/>
              <w:bottom w:w="85" w:type="dxa"/>
              <w:right w:w="157" w:type="dxa"/>
            </w:tcMar>
            <w:vAlign w:val="center"/>
            <w:hideMark/>
          </w:tcPr>
          <w:p w:rsidR="00A9583C" w:rsidRDefault="00A9583C" w:rsidP="00DB046E">
            <w:pPr>
              <w:pStyle w:val="20"/>
              <w:overflowPunct w:val="0"/>
              <w:jc w:val="center"/>
              <w:rPr>
                <w:sz w:val="20"/>
              </w:rPr>
            </w:pPr>
            <w:r>
              <w:rPr>
                <w:sz w:val="20"/>
              </w:rPr>
              <w:t>ПОВЕРЉИВО/POVERLJIVO</w:t>
            </w:r>
          </w:p>
        </w:tc>
      </w:tr>
      <w:tr w:rsidR="00A9583C" w:rsidTr="00DB046E">
        <w:tc>
          <w:tcPr>
            <w:tcW w:w="0" w:type="auto"/>
            <w:tcBorders>
              <w:top w:val="single" w:sz="3" w:space="0" w:color="000000"/>
              <w:bottom w:val="single" w:sz="16" w:space="0" w:color="000000"/>
              <w:right w:val="single" w:sz="3" w:space="0" w:color="000000"/>
            </w:tcBorders>
            <w:tcMar>
              <w:top w:w="85" w:type="dxa"/>
              <w:left w:w="157" w:type="dxa"/>
              <w:bottom w:w="85" w:type="dxa"/>
              <w:right w:w="146" w:type="dxa"/>
            </w:tcMar>
            <w:vAlign w:val="center"/>
            <w:hideMark/>
          </w:tcPr>
          <w:p w:rsidR="00A9583C" w:rsidRDefault="00A9583C" w:rsidP="00DB046E">
            <w:pPr>
              <w:pStyle w:val="20"/>
              <w:overflowPunct w:val="0"/>
              <w:jc w:val="center"/>
              <w:rPr>
                <w:sz w:val="20"/>
              </w:rPr>
            </w:pPr>
            <w:r>
              <w:rPr>
                <w:sz w:val="20"/>
              </w:rPr>
              <w:t>VYHRAZENÉ</w:t>
            </w:r>
          </w:p>
        </w:tc>
        <w:tc>
          <w:tcPr>
            <w:tcW w:w="0" w:type="auto"/>
            <w:tcBorders>
              <w:top w:val="single" w:sz="3" w:space="0" w:color="000000"/>
              <w:left w:val="single" w:sz="3" w:space="0" w:color="000000"/>
              <w:bottom w:val="single" w:sz="16" w:space="0" w:color="000000"/>
            </w:tcBorders>
            <w:tcMar>
              <w:top w:w="85" w:type="dxa"/>
              <w:left w:w="146" w:type="dxa"/>
              <w:bottom w:w="85" w:type="dxa"/>
              <w:right w:w="157" w:type="dxa"/>
            </w:tcMar>
            <w:vAlign w:val="center"/>
            <w:hideMark/>
          </w:tcPr>
          <w:p w:rsidR="00A9583C" w:rsidRDefault="00A9583C" w:rsidP="00DB046E">
            <w:pPr>
              <w:pStyle w:val="20"/>
              <w:overflowPunct w:val="0"/>
              <w:jc w:val="center"/>
              <w:rPr>
                <w:sz w:val="20"/>
              </w:rPr>
            </w:pPr>
            <w:r>
              <w:rPr>
                <w:sz w:val="20"/>
              </w:rPr>
              <w:t>ИНТЕРНО/INTERNO</w:t>
            </w:r>
          </w:p>
        </w:tc>
      </w:tr>
    </w:tbl>
    <w:p w:rsidR="00A77B3E" w:rsidRDefault="00CF67A7">
      <w:pPr>
        <w:pStyle w:val="18"/>
      </w:pPr>
      <w:r>
        <w:t>ČLÁNEK 11</w:t>
      </w:r>
    </w:p>
    <w:p w:rsidR="00A77B3E" w:rsidRDefault="00CF67A7">
      <w:pPr>
        <w:pStyle w:val="7"/>
      </w:pPr>
      <w:r>
        <w:t xml:space="preserve">Jakékoli dodatky a změny této Dohody mohou být kdykoli provedeny po vzájemné dohodě Smluvních stran. Tyto dodatky a změny budou provedeny ve formě samostatných nástrojů, jež budou nedílnou součástí této Dohody, a vstoupí v platnost v souladu s ustanoveními </w:t>
      </w:r>
      <w:hyperlink w:history="1">
        <w:r>
          <w:t>článku 12</w:t>
        </w:r>
      </w:hyperlink>
      <w:r>
        <w:t xml:space="preserve"> této Dohody.</w:t>
      </w:r>
    </w:p>
    <w:p w:rsidR="00CF5BE0" w:rsidRDefault="00CF5BE0">
      <w:pPr>
        <w:pStyle w:val="7"/>
      </w:pPr>
      <w:r>
        <w:rPr>
          <w:noProof/>
        </w:rPr>
        <w:drawing>
          <wp:inline distT="0" distB="0" distL="0" distR="0">
            <wp:extent cx="5486400" cy="365379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93295.jpg"/>
                    <pic:cNvPicPr/>
                  </pic:nvPicPr>
                  <pic:blipFill>
                    <a:blip r:embed="rId6">
                      <a:extLst>
                        <a:ext uri="{28A0092B-C50C-407E-A947-70E740481C1C}">
                          <a14:useLocalDpi xmlns:a14="http://schemas.microsoft.com/office/drawing/2010/main" val="0"/>
                        </a:ext>
                      </a:extLst>
                    </a:blip>
                    <a:stretch>
                      <a:fillRect/>
                    </a:stretch>
                  </pic:blipFill>
                  <pic:spPr>
                    <a:xfrm>
                      <a:off x="0" y="0"/>
                      <a:ext cx="5486400" cy="3653790"/>
                    </a:xfrm>
                    <a:prstGeom prst="rect">
                      <a:avLst/>
                    </a:prstGeom>
                  </pic:spPr>
                </pic:pic>
              </a:graphicData>
            </a:graphic>
          </wp:inline>
        </w:drawing>
      </w:r>
    </w:p>
    <w:p w:rsidR="00A77B3E" w:rsidRDefault="00CF67A7">
      <w:pPr>
        <w:pStyle w:val="18"/>
      </w:pPr>
      <w:r>
        <w:t>ČLÁNEK 12</w:t>
      </w:r>
    </w:p>
    <w:p w:rsidR="00A77B3E" w:rsidRDefault="00CF67A7">
      <w:pPr>
        <w:pStyle w:val="22"/>
      </w:pPr>
      <w:r>
        <w:t>(1)    Tato Dohoda vstoupí v platnost prvního dne měsíce následujícího po dni doručení pozdějšího písemného oznámení Smluvních stran potvrzujícího dokončení jejich příslušných vnitřních právních postupů požadovaných pro vstup této Dohody v platnost.</w:t>
      </w:r>
    </w:p>
    <w:p w:rsidR="00A77B3E" w:rsidRDefault="00CF67A7">
      <w:pPr>
        <w:pStyle w:val="23"/>
      </w:pPr>
      <w:r>
        <w:t>(2)    Tato Dohoda je platná po dobu pěti (5) let a automaticky se obnovuje na následujících (5) let. Každá Smluvní strana může kdykoliv ukončit platnost této Dohody za předpokladu, že písemně oznámí druhé Smluvní straně diplomatickou cestou svůj úmysl ukončit tuto Dohodu nejméně šest (6) měsíců před zamýšleným datem ukončení její platnosti.</w:t>
      </w:r>
    </w:p>
    <w:p w:rsidR="00A77B3E" w:rsidRDefault="00CF67A7">
      <w:pPr>
        <w:pStyle w:val="24"/>
      </w:pPr>
      <w:r>
        <w:lastRenderedPageBreak/>
        <w:t>(3)    V případě ukončení platnosti této Dohody zůstávají všechny závazky a závazky vyplývající z jakýchkoli jednání uzavřených v souladu s ustanoveními této Dohody platné a závazné až do splnění závazků a závazků dohodnutých Smluvními stranami, nedohodnou-li se písemně jinak.</w:t>
      </w:r>
    </w:p>
    <w:p w:rsidR="00CF5BE0" w:rsidRDefault="00CF5BE0">
      <w:pPr>
        <w:pStyle w:val="24"/>
      </w:pPr>
      <w:r>
        <w:rPr>
          <w:noProof/>
        </w:rPr>
        <w:drawing>
          <wp:inline distT="0" distB="0" distL="0" distR="0">
            <wp:extent cx="5486400" cy="366204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vyrp11_711.jpg"/>
                    <pic:cNvPicPr/>
                  </pic:nvPicPr>
                  <pic:blipFill>
                    <a:blip r:embed="rId7">
                      <a:extLst>
                        <a:ext uri="{28A0092B-C50C-407E-A947-70E740481C1C}">
                          <a14:useLocalDpi xmlns:a14="http://schemas.microsoft.com/office/drawing/2010/main" val="0"/>
                        </a:ext>
                      </a:extLst>
                    </a:blip>
                    <a:stretch>
                      <a:fillRect/>
                    </a:stretch>
                  </pic:blipFill>
                  <pic:spPr>
                    <a:xfrm>
                      <a:off x="0" y="0"/>
                      <a:ext cx="5486400" cy="3662045"/>
                    </a:xfrm>
                    <a:prstGeom prst="rect">
                      <a:avLst/>
                    </a:prstGeom>
                  </pic:spPr>
                </pic:pic>
              </a:graphicData>
            </a:graphic>
          </wp:inline>
        </w:drawing>
      </w:r>
    </w:p>
    <w:p w:rsidR="00A77B3E" w:rsidRDefault="00CF67A7">
      <w:pPr>
        <w:pStyle w:val="10"/>
      </w:pPr>
      <w:r>
        <w:t>Na důkaz čehož připojili níže podepsaní zplnomocnění zástupci k této Dohodě své podpisy.</w:t>
      </w:r>
    </w:p>
    <w:p w:rsidR="00A77B3E" w:rsidRDefault="00CF67A7">
      <w:pPr>
        <w:pStyle w:val="28"/>
      </w:pPr>
      <w:r>
        <w:t>Dáno v Praze dne 5. října 2022, ve dvou původních vyhotoveních, každé v jazyce českém, arabském a anglickém, přičemž všechna znění mají stejnou platnost. V případě rozdílného výkladu je rozhodující znění v anglickém jazyce.</w:t>
      </w:r>
    </w:p>
    <w:p w:rsidR="00A77B3E" w:rsidRDefault="00CF67A7">
      <w:pPr>
        <w:pStyle w:val="28"/>
      </w:pPr>
      <w:r>
        <w:t>Za vládu České republiky</w:t>
      </w:r>
    </w:p>
    <w:p w:rsidR="00A77B3E" w:rsidRDefault="00CF67A7">
      <w:pPr>
        <w:pStyle w:val="28"/>
      </w:pPr>
      <w:r>
        <w:t xml:space="preserve">Jozef </w:t>
      </w:r>
      <w:proofErr w:type="spellStart"/>
      <w:r>
        <w:t>Síkela</w:t>
      </w:r>
      <w:proofErr w:type="spellEnd"/>
      <w:r>
        <w:t xml:space="preserve"> v. r.</w:t>
      </w:r>
    </w:p>
    <w:p w:rsidR="00A77B3E" w:rsidRDefault="00CF67A7">
      <w:pPr>
        <w:pStyle w:val="28"/>
      </w:pPr>
      <w:r>
        <w:t>ministr průmyslu a obchodu</w:t>
      </w:r>
    </w:p>
    <w:p w:rsidR="00A77B3E" w:rsidRDefault="00CF67A7">
      <w:pPr>
        <w:pStyle w:val="28"/>
      </w:pPr>
      <w:r>
        <w:t>Za vládu Státu Katar</w:t>
      </w:r>
    </w:p>
    <w:p w:rsidR="00A77B3E" w:rsidRDefault="00CF67A7">
      <w:pPr>
        <w:pStyle w:val="28"/>
      </w:pPr>
      <w:r>
        <w:t xml:space="preserve">šejch Mohammed bin Hamad bin </w:t>
      </w:r>
      <w:proofErr w:type="spellStart"/>
      <w:r>
        <w:t>Quassim</w:t>
      </w:r>
      <w:proofErr w:type="spellEnd"/>
    </w:p>
    <w:p w:rsidR="00A77B3E" w:rsidRDefault="00CF67A7">
      <w:pPr>
        <w:pStyle w:val="28"/>
      </w:pPr>
      <w:r>
        <w:t xml:space="preserve">Al </w:t>
      </w:r>
      <w:proofErr w:type="spellStart"/>
      <w:r>
        <w:t>Abdullah</w:t>
      </w:r>
      <w:proofErr w:type="spellEnd"/>
      <w:r>
        <w:t xml:space="preserve"> Al </w:t>
      </w:r>
      <w:proofErr w:type="spellStart"/>
      <w:r>
        <w:t>Thani</w:t>
      </w:r>
      <w:proofErr w:type="spellEnd"/>
      <w:r>
        <w:t xml:space="preserve"> v. r.</w:t>
      </w:r>
    </w:p>
    <w:p w:rsidR="00A77B3E" w:rsidRDefault="00CF67A7">
      <w:pPr>
        <w:pStyle w:val="11"/>
      </w:pPr>
      <w:r>
        <w:t>ministr obchodu a průmyslu</w:t>
      </w:r>
    </w:p>
    <w:p w:rsidR="00A77B3E" w:rsidRDefault="00A77B3E">
      <w:pPr>
        <w:pStyle w:val="29"/>
      </w:pPr>
    </w:p>
    <w:sectPr w:rsidR="00A77B3E">
      <w:headerReference w:type="even" r:id="rId8"/>
      <w:headerReference w:type="default" r:id="rId9"/>
      <w:headerReference w:type="first" r:id="rId10"/>
      <w:pgSz w:w="12240" w:h="15840"/>
      <w:pgMar w:top="1440" w:right="1800" w:bottom="1440" w:left="1800" w:header="40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28A" w:rsidRDefault="00C4628A">
      <w:r>
        <w:separator/>
      </w:r>
    </w:p>
  </w:endnote>
  <w:endnote w:type="continuationSeparator" w:id="0">
    <w:p w:rsidR="00C4628A" w:rsidRDefault="00C4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28A" w:rsidRDefault="00C4628A">
      <w:r>
        <w:separator/>
      </w:r>
    </w:p>
  </w:footnote>
  <w:footnote w:type="continuationSeparator" w:id="0">
    <w:p w:rsidR="00C4628A" w:rsidRDefault="00C46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1728"/>
      <w:gridCol w:w="2592"/>
      <w:gridCol w:w="2592"/>
      <w:gridCol w:w="1728"/>
    </w:tblGrid>
    <w:tr w:rsidR="000A4BA7">
      <w:tc>
        <w:tcPr>
          <w:tcW w:w="0" w:type="auto"/>
          <w:gridSpan w:val="4"/>
        </w:tcPr>
        <w:p w:rsidR="000A4BA7" w:rsidRDefault="00CF67A7">
          <w:pPr>
            <w:pStyle w:val="HlavickaZlutyText"/>
          </w:pPr>
          <w:r>
            <w:t>Upozornění testovací provoz Upozornění testovací provoz Upozornění testovací provoz</w:t>
          </w:r>
        </w:p>
      </w:tc>
    </w:tr>
    <w:tr w:rsidR="000A4BA7">
      <w:tblPrEx>
        <w:tblBorders>
          <w:bottom w:val="single" w:sz="12" w:space="0" w:color="000000"/>
        </w:tblBorders>
      </w:tblPrEx>
      <w:tc>
        <w:tcPr>
          <w:tcW w:w="1000" w:type="pct"/>
        </w:tcPr>
        <w:p w:rsidR="000A4BA7" w:rsidRDefault="00CF67A7">
          <w:pPr>
            <w:pStyle w:val="Hlavicka"/>
          </w:pPr>
          <w:r>
            <w:t xml:space="preserve">strana </w:t>
          </w:r>
          <w:r>
            <w:fldChar w:fldCharType="begin"/>
          </w:r>
          <w:r>
            <w:instrText>PAGE</w:instrText>
          </w:r>
          <w:r>
            <w:fldChar w:fldCharType="separate"/>
          </w:r>
          <w:r w:rsidR="00A9583C">
            <w:rPr>
              <w:noProof/>
            </w:rPr>
            <w:t>2</w:t>
          </w:r>
          <w:r>
            <w:fldChar w:fldCharType="end"/>
          </w:r>
        </w:p>
      </w:tc>
      <w:tc>
        <w:tcPr>
          <w:tcW w:w="3000" w:type="pct"/>
          <w:gridSpan w:val="2"/>
        </w:tcPr>
        <w:p w:rsidR="000A4BA7" w:rsidRDefault="000A4BA7">
          <w:pPr>
            <w:pStyle w:val="Hlavicka"/>
            <w:jc w:val="center"/>
          </w:pPr>
        </w:p>
      </w:tc>
      <w:tc>
        <w:tcPr>
          <w:tcW w:w="1000" w:type="pct"/>
        </w:tcPr>
        <w:p w:rsidR="000A4BA7" w:rsidRDefault="000A4BA7">
          <w:pPr>
            <w:pStyle w:val="Hlavicka"/>
            <w:jc w:val="right"/>
          </w:pPr>
        </w:p>
      </w:tc>
    </w:tr>
    <w:tr w:rsidR="000A4BA7">
      <w:tc>
        <w:tcPr>
          <w:tcW w:w="2500" w:type="pct"/>
          <w:gridSpan w:val="2"/>
        </w:tcPr>
        <w:p w:rsidR="000A4BA7" w:rsidRDefault="000A4BA7">
          <w:pPr>
            <w:pStyle w:val="Hlavicka"/>
          </w:pPr>
        </w:p>
      </w:tc>
      <w:tc>
        <w:tcPr>
          <w:tcW w:w="2500" w:type="pct"/>
          <w:gridSpan w:val="2"/>
        </w:tcPr>
        <w:p w:rsidR="000A4BA7" w:rsidRDefault="000A4BA7">
          <w:pPr>
            <w:pStyle w:val="Hlavicka"/>
            <w:jc w:val="right"/>
          </w:pPr>
        </w:p>
      </w:tc>
    </w:tr>
  </w:tbl>
  <w:p w:rsidR="000A4BA7" w:rsidRDefault="000A4BA7">
    <w:pPr>
      <w:pStyle w:val="Hlavic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1728"/>
      <w:gridCol w:w="2592"/>
      <w:gridCol w:w="2592"/>
      <w:gridCol w:w="1728"/>
    </w:tblGrid>
    <w:tr w:rsidR="000A4BA7">
      <w:tc>
        <w:tcPr>
          <w:tcW w:w="2500" w:type="pct"/>
          <w:gridSpan w:val="4"/>
        </w:tcPr>
        <w:p w:rsidR="000A4BA7" w:rsidRDefault="00CF67A7">
          <w:pPr>
            <w:pStyle w:val="HlavickaZlutyText"/>
            <w:jc w:val="right"/>
          </w:pPr>
          <w:r>
            <w:t>Upozornění testovací provoz Upozornění testovací provoz Upozornění testovací provoz</w:t>
          </w:r>
        </w:p>
      </w:tc>
    </w:tr>
    <w:tr w:rsidR="000A4BA7">
      <w:tblPrEx>
        <w:tblBorders>
          <w:bottom w:val="single" w:sz="12" w:space="0" w:color="000000"/>
        </w:tblBorders>
      </w:tblPrEx>
      <w:tc>
        <w:tcPr>
          <w:tcW w:w="1000" w:type="pct"/>
        </w:tcPr>
        <w:p w:rsidR="000A4BA7" w:rsidRDefault="000A4BA7">
          <w:pPr>
            <w:pStyle w:val="Hlavicka"/>
          </w:pPr>
        </w:p>
      </w:tc>
      <w:tc>
        <w:tcPr>
          <w:tcW w:w="3000" w:type="pct"/>
          <w:gridSpan w:val="2"/>
        </w:tcPr>
        <w:p w:rsidR="000A4BA7" w:rsidRDefault="000A4BA7">
          <w:pPr>
            <w:pStyle w:val="Hlavicka"/>
            <w:jc w:val="center"/>
          </w:pPr>
        </w:p>
      </w:tc>
      <w:tc>
        <w:tcPr>
          <w:tcW w:w="1000" w:type="pct"/>
        </w:tcPr>
        <w:p w:rsidR="000A4BA7" w:rsidRDefault="00CF67A7">
          <w:pPr>
            <w:pStyle w:val="Hlavicka"/>
            <w:jc w:val="right"/>
          </w:pPr>
          <w:r>
            <w:t xml:space="preserve">strana </w:t>
          </w:r>
          <w:r>
            <w:fldChar w:fldCharType="begin"/>
          </w:r>
          <w:r>
            <w:instrText>PAGE</w:instrText>
          </w:r>
          <w:r>
            <w:fldChar w:fldCharType="separate"/>
          </w:r>
          <w:r w:rsidR="00A9583C">
            <w:rPr>
              <w:noProof/>
            </w:rPr>
            <w:t>1</w:t>
          </w:r>
          <w:r>
            <w:fldChar w:fldCharType="end"/>
          </w:r>
        </w:p>
      </w:tc>
    </w:tr>
    <w:tr w:rsidR="000A4BA7">
      <w:tc>
        <w:tcPr>
          <w:tcW w:w="2500" w:type="pct"/>
          <w:gridSpan w:val="2"/>
        </w:tcPr>
        <w:p w:rsidR="000A4BA7" w:rsidRDefault="000A4BA7">
          <w:pPr>
            <w:pStyle w:val="Hlavicka"/>
          </w:pPr>
        </w:p>
      </w:tc>
      <w:tc>
        <w:tcPr>
          <w:tcW w:w="2500" w:type="pct"/>
          <w:gridSpan w:val="2"/>
        </w:tcPr>
        <w:p w:rsidR="000A4BA7" w:rsidRDefault="000A4BA7">
          <w:pPr>
            <w:pStyle w:val="Hlavicka"/>
            <w:jc w:val="right"/>
          </w:pPr>
        </w:p>
      </w:tc>
    </w:tr>
  </w:tbl>
  <w:p w:rsidR="000A4BA7" w:rsidRDefault="000A4BA7">
    <w:pPr>
      <w:pStyle w:val="Hlavic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8640"/>
    </w:tblGrid>
    <w:tr w:rsidR="000A4BA7">
      <w:tc>
        <w:tcPr>
          <w:tcW w:w="0" w:type="auto"/>
        </w:tcPr>
        <w:p w:rsidR="000A4BA7" w:rsidRDefault="00CF67A7">
          <w:pPr>
            <w:pStyle w:val="HlavickaZlutyText"/>
            <w:jc w:val="right"/>
          </w:pPr>
          <w:r>
            <w:t>Upozornění testovací provoz Upozornění testovací provoz Upozornění testovací provoz</w:t>
          </w:r>
        </w:p>
      </w:tc>
    </w:tr>
    <w:tr w:rsidR="000A4BA7">
      <w:tc>
        <w:tcPr>
          <w:tcW w:w="0" w:type="auto"/>
        </w:tcPr>
        <w:p w:rsidR="000A4BA7" w:rsidRDefault="000A4BA7">
          <w:pPr>
            <w:pStyle w:val="Hlavicka"/>
            <w:jc w:val="right"/>
          </w:pPr>
        </w:p>
      </w:tc>
    </w:tr>
  </w:tbl>
  <w:p w:rsidR="000A4BA7" w:rsidRDefault="000A4BA7">
    <w:pPr>
      <w:pStyle w:val="Hlavic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A4BA7"/>
    <w:rsid w:val="00735582"/>
    <w:rsid w:val="00892CA8"/>
    <w:rsid w:val="00A77B3E"/>
    <w:rsid w:val="00A9583C"/>
    <w:rsid w:val="00C4628A"/>
    <w:rsid w:val="00CA2A55"/>
    <w:rsid w:val="00CF5BE0"/>
    <w:rsid w:val="00CF67A7"/>
    <w:rsid w:val="00F977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946FD"/>
  <w15:docId w15:val="{59465CC7-8474-48FF-9585-75708CBF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cka">
    <w:name w:val="Hlavicka"/>
    <w:rPr>
      <w:i/>
    </w:rPr>
  </w:style>
  <w:style w:type="paragraph" w:customStyle="1" w:styleId="HlavickaZlutyText">
    <w:name w:val="HlavickaZlutyText"/>
    <w:pPr>
      <w:shd w:val="clear" w:color="auto" w:fill="FFD300"/>
    </w:pPr>
    <w:rPr>
      <w:sz w:val="18"/>
    </w:rPr>
  </w:style>
  <w:style w:type="paragraph" w:customStyle="1" w:styleId="Variantastart">
    <w:name w:val="Varianta_start"/>
    <w:pPr>
      <w:pBdr>
        <w:top w:val="single" w:sz="8" w:space="0" w:color="800080"/>
      </w:pBdr>
      <w:spacing w:after="100"/>
    </w:pPr>
    <w:rPr>
      <w:b/>
      <w:i/>
      <w:color w:val="800080"/>
    </w:rPr>
  </w:style>
  <w:style w:type="paragraph" w:customStyle="1" w:styleId="Variantakonec">
    <w:name w:val="Varianta_konec"/>
    <w:pPr>
      <w:pBdr>
        <w:bottom w:val="single" w:sz="8" w:space="0" w:color="800080"/>
      </w:pBdr>
      <w:spacing w:after="100"/>
    </w:pPr>
    <w:rPr>
      <w:b/>
      <w:i/>
      <w:color w:val="800080"/>
    </w:rPr>
  </w:style>
  <w:style w:type="paragraph" w:customStyle="1" w:styleId="Ucinnoststart">
    <w:name w:val="Ucinnost_start"/>
    <w:pPr>
      <w:pBdr>
        <w:top w:val="single" w:sz="8" w:space="0" w:color="8B0000"/>
      </w:pBdr>
      <w:spacing w:after="100"/>
    </w:pPr>
    <w:rPr>
      <w:b/>
      <w:i/>
      <w:color w:val="8B0000"/>
    </w:rPr>
  </w:style>
  <w:style w:type="paragraph" w:customStyle="1" w:styleId="Ucinnostkonec">
    <w:name w:val="Ucinnost_konec"/>
    <w:pPr>
      <w:pBdr>
        <w:bottom w:val="single" w:sz="8" w:space="0" w:color="8B0000"/>
      </w:pBdr>
      <w:spacing w:after="100"/>
    </w:pPr>
    <w:rPr>
      <w:b/>
      <w:i/>
      <w:color w:val="8B0000"/>
    </w:rPr>
  </w:style>
  <w:style w:type="paragraph" w:customStyle="1" w:styleId="Celex">
    <w:name w:val="Celex"/>
    <w:pPr>
      <w:spacing w:before="120" w:after="120"/>
    </w:pPr>
    <w:rPr>
      <w:i/>
    </w:rPr>
  </w:style>
  <w:style w:type="paragraph" w:customStyle="1" w:styleId="1">
    <w:name w:val="1"/>
    <w:pPr>
      <w:spacing w:before="11"/>
    </w:pPr>
    <w:rPr>
      <w:sz w:val="0"/>
    </w:rPr>
  </w:style>
  <w:style w:type="paragraph" w:customStyle="1" w:styleId="2">
    <w:name w:val="2"/>
    <w:pPr>
      <w:spacing w:before="11"/>
    </w:pPr>
    <w:rPr>
      <w:sz w:val="0"/>
    </w:rPr>
  </w:style>
  <w:style w:type="paragraph" w:customStyle="1" w:styleId="3">
    <w:name w:val="3"/>
    <w:pPr>
      <w:spacing w:before="57" w:after="227"/>
      <w:jc w:val="center"/>
    </w:pPr>
    <w:rPr>
      <w:b/>
      <w:sz w:val="32"/>
    </w:rPr>
  </w:style>
  <w:style w:type="paragraph" w:customStyle="1" w:styleId="4">
    <w:name w:val="4"/>
    <w:pPr>
      <w:ind w:left="680" w:right="680"/>
      <w:jc w:val="center"/>
    </w:pPr>
    <w:rPr>
      <w:b/>
      <w:caps/>
      <w:sz w:val="32"/>
    </w:rPr>
  </w:style>
  <w:style w:type="paragraph" w:customStyle="1" w:styleId="5">
    <w:name w:val="5"/>
    <w:pPr>
      <w:spacing w:before="340" w:after="113"/>
      <w:ind w:left="850" w:right="850"/>
      <w:jc w:val="center"/>
    </w:pPr>
    <w:rPr>
      <w:b/>
      <w:sz w:val="38"/>
    </w:rPr>
  </w:style>
  <w:style w:type="paragraph" w:customStyle="1" w:styleId="6">
    <w:name w:val="6"/>
    <w:pPr>
      <w:spacing w:after="170"/>
      <w:ind w:left="850" w:right="850"/>
      <w:jc w:val="center"/>
    </w:pPr>
    <w:rPr>
      <w:b/>
      <w:sz w:val="28"/>
    </w:rPr>
  </w:style>
  <w:style w:type="paragraph" w:customStyle="1" w:styleId="7">
    <w:name w:val="7"/>
    <w:pPr>
      <w:spacing w:after="57"/>
      <w:jc w:val="both"/>
    </w:pPr>
    <w:rPr>
      <w:sz w:val="24"/>
    </w:rPr>
  </w:style>
  <w:style w:type="paragraph" w:customStyle="1" w:styleId="8">
    <w:name w:val="8"/>
    <w:pPr>
      <w:spacing w:after="113"/>
      <w:jc w:val="both"/>
    </w:pPr>
    <w:rPr>
      <w:sz w:val="24"/>
    </w:rPr>
  </w:style>
  <w:style w:type="paragraph" w:customStyle="1" w:styleId="9">
    <w:name w:val="9"/>
    <w:pPr>
      <w:spacing w:before="113" w:after="57"/>
      <w:jc w:val="both"/>
    </w:pPr>
    <w:rPr>
      <w:sz w:val="24"/>
    </w:rPr>
  </w:style>
  <w:style w:type="paragraph" w:customStyle="1" w:styleId="10">
    <w:name w:val="10"/>
    <w:pPr>
      <w:spacing w:before="454" w:after="57"/>
      <w:jc w:val="center"/>
    </w:pPr>
    <w:rPr>
      <w:sz w:val="24"/>
    </w:rPr>
  </w:style>
  <w:style w:type="paragraph" w:customStyle="1" w:styleId="11">
    <w:name w:val="11"/>
    <w:pPr>
      <w:spacing w:before="57"/>
      <w:jc w:val="center"/>
    </w:pPr>
    <w:rPr>
      <w:sz w:val="24"/>
    </w:rPr>
  </w:style>
  <w:style w:type="paragraph" w:customStyle="1" w:styleId="12">
    <w:name w:val="12"/>
    <w:pPr>
      <w:spacing w:after="113"/>
      <w:ind w:left="850" w:right="850"/>
      <w:jc w:val="center"/>
    </w:pPr>
    <w:rPr>
      <w:b/>
      <w:sz w:val="28"/>
    </w:rPr>
  </w:style>
  <w:style w:type="paragraph" w:customStyle="1" w:styleId="13">
    <w:name w:val="13"/>
    <w:pPr>
      <w:spacing w:before="113" w:after="113"/>
      <w:ind w:left="850" w:right="850"/>
      <w:jc w:val="center"/>
    </w:pPr>
    <w:rPr>
      <w:b/>
      <w:sz w:val="28"/>
    </w:rPr>
  </w:style>
  <w:style w:type="paragraph" w:customStyle="1" w:styleId="14">
    <w:name w:val="14"/>
    <w:pPr>
      <w:spacing w:before="113" w:after="113"/>
      <w:ind w:left="850" w:right="850"/>
      <w:jc w:val="center"/>
    </w:pPr>
    <w:rPr>
      <w:b/>
      <w:sz w:val="28"/>
    </w:rPr>
  </w:style>
  <w:style w:type="paragraph" w:customStyle="1" w:styleId="15">
    <w:name w:val="15"/>
    <w:pPr>
      <w:spacing w:before="283" w:after="170"/>
      <w:ind w:left="850" w:right="850"/>
      <w:jc w:val="center"/>
    </w:pPr>
    <w:rPr>
      <w:b/>
      <w:sz w:val="30"/>
    </w:rPr>
  </w:style>
  <w:style w:type="paragraph" w:customStyle="1" w:styleId="16">
    <w:name w:val="16"/>
    <w:pPr>
      <w:spacing w:before="170" w:after="170"/>
      <w:ind w:left="850" w:right="850"/>
      <w:jc w:val="center"/>
    </w:pPr>
    <w:rPr>
      <w:b/>
      <w:sz w:val="30"/>
    </w:rPr>
  </w:style>
  <w:style w:type="paragraph" w:customStyle="1" w:styleId="17">
    <w:name w:val="17"/>
    <w:pPr>
      <w:spacing w:before="170" w:after="340"/>
      <w:ind w:left="850" w:right="850"/>
      <w:jc w:val="center"/>
    </w:pPr>
    <w:rPr>
      <w:b/>
      <w:sz w:val="30"/>
    </w:rPr>
  </w:style>
  <w:style w:type="paragraph" w:customStyle="1" w:styleId="18">
    <w:name w:val="18"/>
    <w:pPr>
      <w:spacing w:before="227" w:after="113"/>
      <w:jc w:val="center"/>
    </w:pPr>
    <w:rPr>
      <w:sz w:val="28"/>
    </w:rPr>
  </w:style>
  <w:style w:type="paragraph" w:customStyle="1" w:styleId="19">
    <w:name w:val="19"/>
    <w:pPr>
      <w:spacing w:after="57"/>
      <w:ind w:left="680" w:hanging="340"/>
      <w:jc w:val="both"/>
    </w:pPr>
    <w:rPr>
      <w:sz w:val="24"/>
    </w:rPr>
  </w:style>
  <w:style w:type="paragraph" w:customStyle="1" w:styleId="Varianta19start">
    <w:name w:val="Varianta_19_start"/>
    <w:pPr>
      <w:pBdr>
        <w:top w:val="single" w:sz="8" w:space="0" w:color="800080"/>
      </w:pBdr>
      <w:spacing w:after="100"/>
      <w:ind w:left="680"/>
    </w:pPr>
    <w:rPr>
      <w:b/>
      <w:i/>
      <w:color w:val="800080"/>
    </w:rPr>
  </w:style>
  <w:style w:type="paragraph" w:customStyle="1" w:styleId="Varianta19konec">
    <w:name w:val="Varianta_19_konec"/>
    <w:pPr>
      <w:pBdr>
        <w:bottom w:val="single" w:sz="8" w:space="0" w:color="800080"/>
      </w:pBdr>
      <w:spacing w:after="100"/>
      <w:ind w:left="680"/>
    </w:pPr>
    <w:rPr>
      <w:b/>
      <w:i/>
      <w:color w:val="800080"/>
    </w:rPr>
  </w:style>
  <w:style w:type="paragraph" w:customStyle="1" w:styleId="Ucinnost19start">
    <w:name w:val="Ucinnost_19_start"/>
    <w:pPr>
      <w:pBdr>
        <w:top w:val="single" w:sz="8" w:space="0" w:color="8B0000"/>
      </w:pBdr>
      <w:spacing w:after="100"/>
      <w:ind w:left="680"/>
    </w:pPr>
    <w:rPr>
      <w:b/>
      <w:i/>
      <w:color w:val="8B0000"/>
    </w:rPr>
  </w:style>
  <w:style w:type="paragraph" w:customStyle="1" w:styleId="Ucinnost19konec">
    <w:name w:val="Ucinnost_19_konec"/>
    <w:pPr>
      <w:pBdr>
        <w:bottom w:val="single" w:sz="8" w:space="0" w:color="8B0000"/>
      </w:pBdr>
      <w:spacing w:after="100"/>
      <w:ind w:left="680"/>
    </w:pPr>
    <w:rPr>
      <w:b/>
      <w:i/>
      <w:color w:val="8B0000"/>
    </w:rPr>
  </w:style>
  <w:style w:type="paragraph" w:customStyle="1" w:styleId="20">
    <w:name w:val="20"/>
    <w:pPr>
      <w:spacing w:before="57" w:after="57"/>
      <w:ind w:left="680" w:hanging="340"/>
      <w:jc w:val="both"/>
    </w:pPr>
    <w:rPr>
      <w:sz w:val="24"/>
    </w:rPr>
  </w:style>
  <w:style w:type="paragraph" w:customStyle="1" w:styleId="Varianta20start">
    <w:name w:val="Varianta_20_start"/>
    <w:pPr>
      <w:pBdr>
        <w:top w:val="single" w:sz="8" w:space="0" w:color="800080"/>
      </w:pBdr>
      <w:spacing w:after="100"/>
      <w:ind w:left="680"/>
    </w:pPr>
    <w:rPr>
      <w:b/>
      <w:i/>
      <w:color w:val="800080"/>
    </w:rPr>
  </w:style>
  <w:style w:type="paragraph" w:customStyle="1" w:styleId="Varianta20konec">
    <w:name w:val="Varianta_20_konec"/>
    <w:pPr>
      <w:pBdr>
        <w:bottom w:val="single" w:sz="8" w:space="0" w:color="800080"/>
      </w:pBdr>
      <w:spacing w:after="100"/>
      <w:ind w:left="680"/>
    </w:pPr>
    <w:rPr>
      <w:b/>
      <w:i/>
      <w:color w:val="800080"/>
    </w:rPr>
  </w:style>
  <w:style w:type="paragraph" w:customStyle="1" w:styleId="Ucinnost20start">
    <w:name w:val="Ucinnost_20_start"/>
    <w:pPr>
      <w:pBdr>
        <w:top w:val="single" w:sz="8" w:space="0" w:color="8B0000"/>
      </w:pBdr>
      <w:spacing w:after="100"/>
      <w:ind w:left="680"/>
    </w:pPr>
    <w:rPr>
      <w:b/>
      <w:i/>
      <w:color w:val="8B0000"/>
    </w:rPr>
  </w:style>
  <w:style w:type="paragraph" w:customStyle="1" w:styleId="Ucinnost20konec">
    <w:name w:val="Ucinnost_20_konec"/>
    <w:pPr>
      <w:pBdr>
        <w:bottom w:val="single" w:sz="8" w:space="0" w:color="8B0000"/>
      </w:pBdr>
      <w:spacing w:after="100"/>
      <w:ind w:left="680"/>
    </w:pPr>
    <w:rPr>
      <w:b/>
      <w:i/>
      <w:color w:val="8B0000"/>
    </w:rPr>
  </w:style>
  <w:style w:type="paragraph" w:customStyle="1" w:styleId="21">
    <w:name w:val="21"/>
    <w:pPr>
      <w:spacing w:before="57" w:after="227"/>
      <w:ind w:left="680" w:hanging="340"/>
      <w:jc w:val="both"/>
    </w:pPr>
    <w:rPr>
      <w:sz w:val="24"/>
    </w:rPr>
  </w:style>
  <w:style w:type="paragraph" w:customStyle="1" w:styleId="Varianta21start">
    <w:name w:val="Varianta_21_start"/>
    <w:pPr>
      <w:pBdr>
        <w:top w:val="single" w:sz="8" w:space="0" w:color="800080"/>
      </w:pBdr>
      <w:spacing w:after="100"/>
      <w:ind w:left="680"/>
    </w:pPr>
    <w:rPr>
      <w:b/>
      <w:i/>
      <w:color w:val="800080"/>
    </w:rPr>
  </w:style>
  <w:style w:type="paragraph" w:customStyle="1" w:styleId="Varianta21konec">
    <w:name w:val="Varianta_21_konec"/>
    <w:pPr>
      <w:pBdr>
        <w:bottom w:val="single" w:sz="8" w:space="0" w:color="800080"/>
      </w:pBdr>
      <w:spacing w:after="100"/>
      <w:ind w:left="680"/>
    </w:pPr>
    <w:rPr>
      <w:b/>
      <w:i/>
      <w:color w:val="800080"/>
    </w:rPr>
  </w:style>
  <w:style w:type="paragraph" w:customStyle="1" w:styleId="Ucinnost21start">
    <w:name w:val="Ucinnost_21_start"/>
    <w:pPr>
      <w:pBdr>
        <w:top w:val="single" w:sz="8" w:space="0" w:color="8B0000"/>
      </w:pBdr>
      <w:spacing w:after="100"/>
      <w:ind w:left="680"/>
    </w:pPr>
    <w:rPr>
      <w:b/>
      <w:i/>
      <w:color w:val="8B0000"/>
    </w:rPr>
  </w:style>
  <w:style w:type="paragraph" w:customStyle="1" w:styleId="Ucinnost21konec">
    <w:name w:val="Ucinnost_21_konec"/>
    <w:pPr>
      <w:pBdr>
        <w:bottom w:val="single" w:sz="8" w:space="0" w:color="8B0000"/>
      </w:pBdr>
      <w:spacing w:after="100"/>
      <w:ind w:left="680"/>
    </w:pPr>
    <w:rPr>
      <w:b/>
      <w:i/>
      <w:color w:val="8B0000"/>
    </w:rPr>
  </w:style>
  <w:style w:type="paragraph" w:customStyle="1" w:styleId="22">
    <w:name w:val="22"/>
    <w:pPr>
      <w:spacing w:after="113"/>
      <w:ind w:left="510" w:hanging="510"/>
      <w:jc w:val="both"/>
    </w:pPr>
    <w:rPr>
      <w:sz w:val="24"/>
    </w:rPr>
  </w:style>
  <w:style w:type="paragraph" w:customStyle="1" w:styleId="Varianta22start">
    <w:name w:val="Varianta_22_start"/>
    <w:pPr>
      <w:pBdr>
        <w:top w:val="single" w:sz="8" w:space="0" w:color="800080"/>
      </w:pBdr>
      <w:spacing w:after="100"/>
      <w:ind w:left="510"/>
    </w:pPr>
    <w:rPr>
      <w:b/>
      <w:i/>
      <w:color w:val="800080"/>
    </w:rPr>
  </w:style>
  <w:style w:type="paragraph" w:customStyle="1" w:styleId="Varianta22konec">
    <w:name w:val="Varianta_22_konec"/>
    <w:pPr>
      <w:pBdr>
        <w:bottom w:val="single" w:sz="8" w:space="0" w:color="800080"/>
      </w:pBdr>
      <w:spacing w:after="100"/>
      <w:ind w:left="510"/>
    </w:pPr>
    <w:rPr>
      <w:b/>
      <w:i/>
      <w:color w:val="800080"/>
    </w:rPr>
  </w:style>
  <w:style w:type="paragraph" w:customStyle="1" w:styleId="Ucinnost22start">
    <w:name w:val="Ucinnost_22_start"/>
    <w:pPr>
      <w:pBdr>
        <w:top w:val="single" w:sz="8" w:space="0" w:color="8B0000"/>
      </w:pBdr>
      <w:spacing w:after="100"/>
      <w:ind w:left="510"/>
    </w:pPr>
    <w:rPr>
      <w:b/>
      <w:i/>
      <w:color w:val="8B0000"/>
    </w:rPr>
  </w:style>
  <w:style w:type="paragraph" w:customStyle="1" w:styleId="Ucinnost22konec">
    <w:name w:val="Ucinnost_22_konec"/>
    <w:pPr>
      <w:pBdr>
        <w:bottom w:val="single" w:sz="8" w:space="0" w:color="8B0000"/>
      </w:pBdr>
      <w:spacing w:after="100"/>
      <w:ind w:left="510"/>
    </w:pPr>
    <w:rPr>
      <w:b/>
      <w:i/>
      <w:color w:val="8B0000"/>
    </w:rPr>
  </w:style>
  <w:style w:type="paragraph" w:customStyle="1" w:styleId="23">
    <w:name w:val="23"/>
    <w:pPr>
      <w:spacing w:before="113" w:after="113"/>
      <w:ind w:left="510" w:hanging="510"/>
      <w:jc w:val="both"/>
    </w:pPr>
    <w:rPr>
      <w:sz w:val="24"/>
    </w:rPr>
  </w:style>
  <w:style w:type="paragraph" w:customStyle="1" w:styleId="Varianta23start">
    <w:name w:val="Varianta_23_start"/>
    <w:pPr>
      <w:pBdr>
        <w:top w:val="single" w:sz="8" w:space="0" w:color="800080"/>
      </w:pBdr>
      <w:spacing w:after="100"/>
      <w:ind w:left="510"/>
    </w:pPr>
    <w:rPr>
      <w:b/>
      <w:i/>
      <w:color w:val="800080"/>
    </w:rPr>
  </w:style>
  <w:style w:type="paragraph" w:customStyle="1" w:styleId="Varianta23konec">
    <w:name w:val="Varianta_23_konec"/>
    <w:pPr>
      <w:pBdr>
        <w:bottom w:val="single" w:sz="8" w:space="0" w:color="800080"/>
      </w:pBdr>
      <w:spacing w:after="100"/>
      <w:ind w:left="510"/>
    </w:pPr>
    <w:rPr>
      <w:b/>
      <w:i/>
      <w:color w:val="800080"/>
    </w:rPr>
  </w:style>
  <w:style w:type="paragraph" w:customStyle="1" w:styleId="Ucinnost23start">
    <w:name w:val="Ucinnost_23_start"/>
    <w:pPr>
      <w:pBdr>
        <w:top w:val="single" w:sz="8" w:space="0" w:color="8B0000"/>
      </w:pBdr>
      <w:spacing w:after="100"/>
      <w:ind w:left="510"/>
    </w:pPr>
    <w:rPr>
      <w:b/>
      <w:i/>
      <w:color w:val="8B0000"/>
    </w:rPr>
  </w:style>
  <w:style w:type="paragraph" w:customStyle="1" w:styleId="Ucinnost23konec">
    <w:name w:val="Ucinnost_23_konec"/>
    <w:pPr>
      <w:pBdr>
        <w:bottom w:val="single" w:sz="8" w:space="0" w:color="8B0000"/>
      </w:pBdr>
      <w:spacing w:after="100"/>
      <w:ind w:left="510"/>
    </w:pPr>
    <w:rPr>
      <w:b/>
      <w:i/>
      <w:color w:val="8B0000"/>
    </w:rPr>
  </w:style>
  <w:style w:type="paragraph" w:customStyle="1" w:styleId="24">
    <w:name w:val="24"/>
    <w:pPr>
      <w:spacing w:before="113" w:after="57"/>
      <w:ind w:left="510" w:hanging="510"/>
      <w:jc w:val="both"/>
    </w:pPr>
    <w:rPr>
      <w:sz w:val="24"/>
    </w:rPr>
  </w:style>
  <w:style w:type="paragraph" w:customStyle="1" w:styleId="Varianta24start">
    <w:name w:val="Varianta_24_start"/>
    <w:pPr>
      <w:pBdr>
        <w:top w:val="single" w:sz="8" w:space="0" w:color="800080"/>
      </w:pBdr>
      <w:spacing w:after="100"/>
      <w:ind w:left="510"/>
    </w:pPr>
    <w:rPr>
      <w:b/>
      <w:i/>
      <w:color w:val="800080"/>
    </w:rPr>
  </w:style>
  <w:style w:type="paragraph" w:customStyle="1" w:styleId="Varianta24konec">
    <w:name w:val="Varianta_24_konec"/>
    <w:pPr>
      <w:pBdr>
        <w:bottom w:val="single" w:sz="8" w:space="0" w:color="800080"/>
      </w:pBdr>
      <w:spacing w:after="100"/>
      <w:ind w:left="510"/>
    </w:pPr>
    <w:rPr>
      <w:b/>
      <w:i/>
      <w:color w:val="800080"/>
    </w:rPr>
  </w:style>
  <w:style w:type="paragraph" w:customStyle="1" w:styleId="Ucinnost24start">
    <w:name w:val="Ucinnost_24_start"/>
    <w:pPr>
      <w:pBdr>
        <w:top w:val="single" w:sz="8" w:space="0" w:color="8B0000"/>
      </w:pBdr>
      <w:spacing w:after="100"/>
      <w:ind w:left="510"/>
    </w:pPr>
    <w:rPr>
      <w:b/>
      <w:i/>
      <w:color w:val="8B0000"/>
    </w:rPr>
  </w:style>
  <w:style w:type="paragraph" w:customStyle="1" w:styleId="Ucinnost24konec">
    <w:name w:val="Ucinnost_24_konec"/>
    <w:pPr>
      <w:pBdr>
        <w:bottom w:val="single" w:sz="8" w:space="0" w:color="8B0000"/>
      </w:pBdr>
      <w:spacing w:after="100"/>
      <w:ind w:left="510"/>
    </w:pPr>
    <w:rPr>
      <w:b/>
      <w:i/>
      <w:color w:val="8B0000"/>
    </w:rPr>
  </w:style>
  <w:style w:type="paragraph" w:customStyle="1" w:styleId="25">
    <w:name w:val="25"/>
    <w:pPr>
      <w:spacing w:after="57"/>
      <w:ind w:left="1190" w:hanging="340"/>
      <w:jc w:val="both"/>
    </w:pPr>
    <w:rPr>
      <w:sz w:val="24"/>
    </w:rPr>
  </w:style>
  <w:style w:type="paragraph" w:customStyle="1" w:styleId="Varianta25start">
    <w:name w:val="Varianta_25_start"/>
    <w:pPr>
      <w:pBdr>
        <w:top w:val="single" w:sz="8" w:space="0" w:color="800080"/>
      </w:pBdr>
      <w:spacing w:after="100"/>
      <w:ind w:left="1190"/>
    </w:pPr>
    <w:rPr>
      <w:b/>
      <w:i/>
      <w:color w:val="800080"/>
    </w:rPr>
  </w:style>
  <w:style w:type="paragraph" w:customStyle="1" w:styleId="Varianta25konec">
    <w:name w:val="Varianta_25_konec"/>
    <w:pPr>
      <w:pBdr>
        <w:bottom w:val="single" w:sz="8" w:space="0" w:color="800080"/>
      </w:pBdr>
      <w:spacing w:after="100"/>
      <w:ind w:left="1190"/>
    </w:pPr>
    <w:rPr>
      <w:b/>
      <w:i/>
      <w:color w:val="800080"/>
    </w:rPr>
  </w:style>
  <w:style w:type="paragraph" w:customStyle="1" w:styleId="Ucinnost25start">
    <w:name w:val="Ucinnost_25_start"/>
    <w:pPr>
      <w:pBdr>
        <w:top w:val="single" w:sz="8" w:space="0" w:color="8B0000"/>
      </w:pBdr>
      <w:spacing w:after="100"/>
      <w:ind w:left="1190"/>
    </w:pPr>
    <w:rPr>
      <w:b/>
      <w:i/>
      <w:color w:val="8B0000"/>
    </w:rPr>
  </w:style>
  <w:style w:type="paragraph" w:customStyle="1" w:styleId="Ucinnost25konec">
    <w:name w:val="Ucinnost_25_konec"/>
    <w:pPr>
      <w:pBdr>
        <w:bottom w:val="single" w:sz="8" w:space="0" w:color="8B0000"/>
      </w:pBdr>
      <w:spacing w:after="100"/>
      <w:ind w:left="1190"/>
    </w:pPr>
    <w:rPr>
      <w:b/>
      <w:i/>
      <w:color w:val="8B0000"/>
    </w:rPr>
  </w:style>
  <w:style w:type="paragraph" w:customStyle="1" w:styleId="26">
    <w:name w:val="26"/>
    <w:pPr>
      <w:spacing w:before="57" w:after="57"/>
      <w:ind w:left="1190" w:hanging="340"/>
      <w:jc w:val="both"/>
    </w:pPr>
    <w:rPr>
      <w:sz w:val="24"/>
    </w:rPr>
  </w:style>
  <w:style w:type="paragraph" w:customStyle="1" w:styleId="Varianta26start">
    <w:name w:val="Varianta_26_start"/>
    <w:pPr>
      <w:pBdr>
        <w:top w:val="single" w:sz="8" w:space="0" w:color="800080"/>
      </w:pBdr>
      <w:spacing w:after="100"/>
      <w:ind w:left="1190"/>
    </w:pPr>
    <w:rPr>
      <w:b/>
      <w:i/>
      <w:color w:val="800080"/>
    </w:rPr>
  </w:style>
  <w:style w:type="paragraph" w:customStyle="1" w:styleId="Varianta26konec">
    <w:name w:val="Varianta_26_konec"/>
    <w:pPr>
      <w:pBdr>
        <w:bottom w:val="single" w:sz="8" w:space="0" w:color="800080"/>
      </w:pBdr>
      <w:spacing w:after="100"/>
      <w:ind w:left="1190"/>
    </w:pPr>
    <w:rPr>
      <w:b/>
      <w:i/>
      <w:color w:val="800080"/>
    </w:rPr>
  </w:style>
  <w:style w:type="paragraph" w:customStyle="1" w:styleId="Ucinnost26start">
    <w:name w:val="Ucinnost_26_start"/>
    <w:pPr>
      <w:pBdr>
        <w:top w:val="single" w:sz="8" w:space="0" w:color="8B0000"/>
      </w:pBdr>
      <w:spacing w:after="100"/>
      <w:ind w:left="1190"/>
    </w:pPr>
    <w:rPr>
      <w:b/>
      <w:i/>
      <w:color w:val="8B0000"/>
    </w:rPr>
  </w:style>
  <w:style w:type="paragraph" w:customStyle="1" w:styleId="Ucinnost26konec">
    <w:name w:val="Ucinnost_26_konec"/>
    <w:pPr>
      <w:pBdr>
        <w:bottom w:val="single" w:sz="8" w:space="0" w:color="8B0000"/>
      </w:pBdr>
      <w:spacing w:after="100"/>
      <w:ind w:left="1190"/>
    </w:pPr>
    <w:rPr>
      <w:b/>
      <w:i/>
      <w:color w:val="8B0000"/>
    </w:rPr>
  </w:style>
  <w:style w:type="paragraph" w:customStyle="1" w:styleId="27">
    <w:name w:val="27"/>
    <w:pPr>
      <w:spacing w:before="57" w:after="227"/>
      <w:ind w:left="1190" w:hanging="340"/>
      <w:jc w:val="both"/>
    </w:pPr>
    <w:rPr>
      <w:sz w:val="24"/>
    </w:rPr>
  </w:style>
  <w:style w:type="paragraph" w:customStyle="1" w:styleId="Varianta27start">
    <w:name w:val="Varianta_27_start"/>
    <w:pPr>
      <w:pBdr>
        <w:top w:val="single" w:sz="8" w:space="0" w:color="800080"/>
      </w:pBdr>
      <w:spacing w:after="100"/>
      <w:ind w:left="1190"/>
    </w:pPr>
    <w:rPr>
      <w:b/>
      <w:i/>
      <w:color w:val="800080"/>
    </w:rPr>
  </w:style>
  <w:style w:type="paragraph" w:customStyle="1" w:styleId="Varianta27konec">
    <w:name w:val="Varianta_27_konec"/>
    <w:pPr>
      <w:pBdr>
        <w:bottom w:val="single" w:sz="8" w:space="0" w:color="800080"/>
      </w:pBdr>
      <w:spacing w:after="100"/>
      <w:ind w:left="1190"/>
    </w:pPr>
    <w:rPr>
      <w:b/>
      <w:i/>
      <w:color w:val="800080"/>
    </w:rPr>
  </w:style>
  <w:style w:type="paragraph" w:customStyle="1" w:styleId="Ucinnost27start">
    <w:name w:val="Ucinnost_27_start"/>
    <w:pPr>
      <w:pBdr>
        <w:top w:val="single" w:sz="8" w:space="0" w:color="8B0000"/>
      </w:pBdr>
      <w:spacing w:after="100"/>
      <w:ind w:left="1190"/>
    </w:pPr>
    <w:rPr>
      <w:b/>
      <w:i/>
      <w:color w:val="8B0000"/>
    </w:rPr>
  </w:style>
  <w:style w:type="paragraph" w:customStyle="1" w:styleId="Ucinnost27konec">
    <w:name w:val="Ucinnost_27_konec"/>
    <w:pPr>
      <w:pBdr>
        <w:bottom w:val="single" w:sz="8" w:space="0" w:color="8B0000"/>
      </w:pBdr>
      <w:spacing w:after="100"/>
      <w:ind w:left="1190"/>
    </w:pPr>
    <w:rPr>
      <w:b/>
      <w:i/>
      <w:color w:val="8B0000"/>
    </w:rPr>
  </w:style>
  <w:style w:type="paragraph" w:customStyle="1" w:styleId="28">
    <w:name w:val="28"/>
    <w:pPr>
      <w:spacing w:before="57" w:after="57"/>
      <w:jc w:val="center"/>
    </w:pPr>
    <w:rPr>
      <w:sz w:val="24"/>
    </w:rPr>
  </w:style>
  <w:style w:type="paragraph" w:customStyle="1" w:styleId="29">
    <w:name w:val="29"/>
    <w:pPr>
      <w:pBdr>
        <w:top w:val="single" w:sz="11" w:space="0" w:color="000000"/>
      </w:pBdr>
      <w:spacing w:before="510" w:after="57"/>
      <w:ind w:right="6236"/>
    </w:pPr>
    <w:rPr>
      <w:sz w:val="18"/>
    </w:rPr>
  </w:style>
  <w:style w:type="table" w:customStyle="1" w:styleId="TABLE1">
    <w:name w:val="TABLE1"/>
    <w:basedOn w:val="Normlntabulka"/>
    <w:rsid w:val="00A9583C"/>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0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6DD02983A46C409EEF11DE63C77FB7" ma:contentTypeVersion="23" ma:contentTypeDescription="Vytvoří nový dokument" ma:contentTypeScope="" ma:versionID="74344fb7f06965479263f8a27666bd61">
  <xsd:schema xmlns:xsd="http://www.w3.org/2001/XMLSchema" xmlns:xs="http://www.w3.org/2001/XMLSchema" xmlns:p="http://schemas.microsoft.com/office/2006/metadata/properties" xmlns:ns1="http://schemas.microsoft.com/sharepoint/v3" xmlns:ns2="2d78ead9-6c77-4367-b017-694c57707dcb" xmlns:ns3="99df7024-77c3-464a-ad9d-ac6dc0088db4" targetNamespace="http://schemas.microsoft.com/office/2006/metadata/properties" ma:root="true" ma:fieldsID="5df000167c925056b6707f6d509401d2" ns1:_="" ns2:_="" ns3:_="">
    <xsd:import namespace="http://schemas.microsoft.com/sharepoint/v3"/>
    <xsd:import namespace="2d78ead9-6c77-4367-b017-694c57707dcb"/>
    <xsd:import namespace="99df7024-77c3-464a-ad9d-ac6dc0088d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_Flow_SignoffStatus" minOccurs="0"/>
                <xsd:element ref="ns2:Popi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Datum"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Vlastnosti zásad jednotného dodržování předpisů" ma:hidden="true" ma:internalName="_ip_UnifiedCompliancePolicyProperties">
      <xsd:simpleType>
        <xsd:restriction base="dms:Note"/>
      </xsd:simpleType>
    </xsd:element>
    <xsd:element name="_ip_UnifiedCompliancePolicyUIAction" ma:index="27"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78ead9-6c77-4367-b017-694c57707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Popis" ma:index="15" nillable="true" ma:displayName="Popis" ma:description="e-Šablona mínus - analytický plán zadání pro vývoj backendových služeb (TSIT-ACE)" ma:format="Dropdown" ma:internalName="Popis">
      <xsd:simpleType>
        <xsd:restriction base="dms:Text">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Datum" ma:index="22" nillable="true" ma:displayName="Datum" ma:format="DateOnly" ma:internalName="Datum">
      <xsd:simpleType>
        <xsd:restriction base="dms:DateTime"/>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87f66ad1-fe3c-4d7f-928a-c6612a40c904"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Link" ma:index="3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df7024-77c3-464a-ad9d-ac6dc0088db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38fe49ff-be76-4081-80dd-99ce3c2bd5fe}" ma:internalName="TaxCatchAll" ma:showField="CatchAllData" ma:web="99df7024-77c3-464a-ad9d-ac6dc0088d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opis xmlns="2d78ead9-6c77-4367-b017-694c57707dcb" xsi:nil="true"/>
    <lcf76f155ced4ddcb4097134ff3c332f xmlns="2d78ead9-6c77-4367-b017-694c57707dcb">
      <Terms xmlns="http://schemas.microsoft.com/office/infopath/2007/PartnerControls"/>
    </lcf76f155ced4ddcb4097134ff3c332f>
    <TaxCatchAll xmlns="99df7024-77c3-464a-ad9d-ac6dc0088db4" xsi:nil="true"/>
    <_ip_UnifiedCompliancePolicyProperties xmlns="http://schemas.microsoft.com/sharepoint/v3" xsi:nil="true"/>
    <_Flow_SignoffStatus xmlns="2d78ead9-6c77-4367-b017-694c57707dcb" xsi:nil="true"/>
    <Link xmlns="2d78ead9-6c77-4367-b017-694c57707dcb">
      <Url xsi:nil="true"/>
      <Description xsi:nil="true"/>
    </Link>
    <Datum xmlns="2d78ead9-6c77-4367-b017-694c57707dcb" xsi:nil="true"/>
  </documentManagement>
</p:properties>
</file>

<file path=customXml/itemProps1.xml><?xml version="1.0" encoding="utf-8"?>
<ds:datastoreItem xmlns:ds="http://schemas.openxmlformats.org/officeDocument/2006/customXml" ds:itemID="{A92CBFB5-CAD5-4A1A-8E70-14E177CB41F4}"/>
</file>

<file path=customXml/itemProps2.xml><?xml version="1.0" encoding="utf-8"?>
<ds:datastoreItem xmlns:ds="http://schemas.openxmlformats.org/officeDocument/2006/customXml" ds:itemID="{FBBEBD0C-E3E0-4D6B-B270-054A87646CEE}"/>
</file>

<file path=customXml/itemProps3.xml><?xml version="1.0" encoding="utf-8"?>
<ds:datastoreItem xmlns:ds="http://schemas.openxmlformats.org/officeDocument/2006/customXml" ds:itemID="{7440897D-91C7-4A58-88FC-607E8BB0CF16}"/>
</file>

<file path=docProps/app.xml><?xml version="1.0" encoding="utf-8"?>
<Properties xmlns="http://schemas.openxmlformats.org/officeDocument/2006/extended-properties" xmlns:vt="http://schemas.openxmlformats.org/officeDocument/2006/docPropsVTypes">
  <Template>Normal.dotm</Template>
  <TotalTime>21</TotalTime>
  <Pages>6</Pages>
  <Words>1174</Words>
  <Characters>6927</Characters>
  <Application>Microsoft Office Word</Application>
  <DocSecurity>0</DocSecurity>
  <Lines>57</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Šípeková Alexandra</cp:lastModifiedBy>
  <cp:revision>4</cp:revision>
  <dcterms:created xsi:type="dcterms:W3CDTF">2024-06-04T07:48:00Z</dcterms:created>
  <dcterms:modified xsi:type="dcterms:W3CDTF">2024-06-04T09:48:00Z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0x010100356DD02983A46C409EEF11DE63C77FB7</vt:lpwstr>
  </property>
</Properties>
</file>